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7368A" w14:textId="697071F3" w:rsidR="006F0DCC" w:rsidRPr="005211DB" w:rsidRDefault="00845C6D" w:rsidP="0005438B">
      <w:pPr>
        <w:widowControl/>
        <w:overflowPunct/>
        <w:adjustRightInd/>
        <w:jc w:val="center"/>
        <w:textAlignment w:val="auto"/>
      </w:pPr>
      <w:r>
        <w:rPr>
          <w:noProof/>
          <w:lang w:val="en-US" w:eastAsia="en-US"/>
        </w:rPr>
        <w:drawing>
          <wp:inline distT="0" distB="0" distL="0" distR="0" wp14:anchorId="5568B865" wp14:editId="25017089">
            <wp:extent cx="1792605" cy="1239520"/>
            <wp:effectExtent l="0" t="0" r="0" b="0"/>
            <wp:docPr id="1" name="Picture 1" title="EESCLogo_HR"/>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6D5FBA">
        <w:rPr>
          <w:noProof/>
          <w:lang w:val="en-US" w:eastAsia="en-US"/>
        </w:rPr>
        <mc:AlternateContent>
          <mc:Choice Requires="wps">
            <w:drawing>
              <wp:anchor distT="0" distB="0" distL="114300" distR="114300" simplePos="0" relativeHeight="251659264" behindDoc="1" locked="0" layoutInCell="0" allowOverlap="1" wp14:anchorId="59763794" wp14:editId="19D055B1">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5FEDC" w14:textId="77777777" w:rsidR="004A7D0F" w:rsidRPr="00E77192" w:rsidRDefault="004A7D0F" w:rsidP="00944196">
                            <w:pPr>
                              <w:overflowPunct/>
                              <w:adjustRightInd/>
                              <w:jc w:val="center"/>
                              <w:textAlignment w:val="auto"/>
                              <w:rPr>
                                <w:rFonts w:ascii="Arial" w:hAnsi="Arial" w:cs="Arial"/>
                                <w:b/>
                                <w:sz w:val="48"/>
                              </w:rPr>
                            </w:pPr>
                            <w:r>
                              <w:rPr>
                                <w:rFonts w:ascii="Arial" w:hAnsi="Arial"/>
                                <w:b/>
                                <w:sz w:val="48"/>
                              </w:rPr>
                              <w:t>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63794"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" o:allowincell="f" filled="f" stroked="f">
                <v:textbox>
                  <w:txbxContent>
                    <w:p w14:paraId="4EF5FEDC" w14:textId="77777777" w:rsidR="004A7D0F" w:rsidRPr="00E77192" w:rsidRDefault="004A7D0F" w:rsidP="00944196">
                      <w:pPr>
                        <w:overflowPunct/>
                        <w:adjustRightInd/>
                        <w:jc w:val="center"/>
                        <w:textAlignment w:val="auto"/>
                        <w:rPr>
                          <w:rFonts w:ascii="Arial" w:hAnsi="Arial" w:cs="Arial"/>
                          <w:b/>
                          <w:sz w:val="48"/>
                        </w:rPr>
                      </w:pPr>
                      <w:r>
                        <w:rPr>
                          <w:rFonts w:ascii="Arial" w:hAnsi="Arial"/>
                          <w:b/>
                          <w:sz w:val="48"/>
                        </w:rPr>
                        <w:t>HR</w:t>
                      </w:r>
                    </w:p>
                  </w:txbxContent>
                </v:textbox>
                <w10:wrap anchorx="page" anchory="page"/>
              </v:shape>
            </w:pict>
          </mc:Fallback>
        </mc:AlternateContent>
      </w:r>
    </w:p>
    <w:p w14:paraId="153402ED" w14:textId="77777777" w:rsidR="00646AC2" w:rsidRPr="005211DB" w:rsidRDefault="00646AC2" w:rsidP="0005438B">
      <w:pPr>
        <w:widowControl/>
        <w:overflowPunct/>
        <w:adjustRightInd/>
        <w:textAlignment w:val="auto"/>
        <w:rPr>
          <w:sz w:val="22"/>
          <w:szCs w:val="22"/>
        </w:rPr>
      </w:pPr>
    </w:p>
    <w:p w14:paraId="0760FBD8" w14:textId="77777777" w:rsidR="00646AC2" w:rsidRPr="005211DB" w:rsidRDefault="00B55244" w:rsidP="0005438B">
      <w:pPr>
        <w:widowControl/>
        <w:overflowPunct/>
        <w:adjustRightInd/>
        <w:jc w:val="right"/>
        <w:textAlignment w:val="auto"/>
        <w:rPr>
          <w:sz w:val="22"/>
          <w:szCs w:val="22"/>
        </w:rPr>
      </w:pPr>
      <w:r>
        <w:rPr>
          <w:b/>
          <w:sz w:val="22"/>
          <w:szCs w:val="22"/>
        </w:rPr>
        <w:t>SOC/628</w:t>
      </w:r>
    </w:p>
    <w:p w14:paraId="2EAA345C" w14:textId="77777777" w:rsidR="00563C84" w:rsidRPr="005211DB" w:rsidRDefault="00B55244" w:rsidP="0005438B">
      <w:pPr>
        <w:widowControl/>
        <w:overflowPunct/>
        <w:adjustRightInd/>
        <w:jc w:val="right"/>
        <w:textAlignment w:val="auto"/>
        <w:rPr>
          <w:b/>
          <w:sz w:val="22"/>
          <w:szCs w:val="22"/>
        </w:rPr>
      </w:pPr>
      <w:r>
        <w:rPr>
          <w:b/>
          <w:sz w:val="22"/>
          <w:szCs w:val="22"/>
        </w:rPr>
        <w:t>Demografski izazovi u EU-u u svjetlu gospodarskih i razvojnih nejednakosti</w:t>
      </w:r>
    </w:p>
    <w:p w14:paraId="52A76B50" w14:textId="77777777" w:rsidR="009B30AA" w:rsidRPr="005211DB" w:rsidRDefault="009B30AA" w:rsidP="0005438B">
      <w:pPr>
        <w:widowControl/>
        <w:overflowPunct/>
        <w:adjustRightInd/>
        <w:textAlignment w:val="auto"/>
        <w:rPr>
          <w:sz w:val="22"/>
          <w:szCs w:val="22"/>
        </w:rPr>
      </w:pPr>
    </w:p>
    <w:p w14:paraId="7BCCB73F" w14:textId="77777777" w:rsidR="009B30AA" w:rsidRPr="005211DB" w:rsidRDefault="009B30AA" w:rsidP="0005438B">
      <w:pPr>
        <w:widowControl/>
        <w:overflowPunct/>
        <w:adjustRightInd/>
        <w:textAlignment w:val="auto"/>
        <w:rPr>
          <w:sz w:val="22"/>
          <w:szCs w:val="22"/>
        </w:rPr>
      </w:pPr>
    </w:p>
    <w:p w14:paraId="779EEE42" w14:textId="1E32310A" w:rsidR="00646AC2" w:rsidRPr="005211DB" w:rsidRDefault="0038606B" w:rsidP="0005438B">
      <w:pPr>
        <w:widowControl/>
        <w:overflowPunct/>
        <w:adjustRightInd/>
        <w:jc w:val="center"/>
        <w:textAlignment w:val="auto"/>
        <w:rPr>
          <w:sz w:val="22"/>
          <w:szCs w:val="22"/>
        </w:rPr>
      </w:pPr>
      <w:r>
        <w:rPr>
          <w:b/>
          <w:sz w:val="28"/>
        </w:rPr>
        <w:t>MIŠLJENJE</w:t>
      </w:r>
      <w:r>
        <w:rPr>
          <w:b/>
          <w:sz w:val="28"/>
        </w:rPr>
        <w:br/>
      </w:r>
      <w:r>
        <w:rPr>
          <w:b/>
        </w:rPr>
        <w:br/>
        <w:t>Europski gospodarski i socijalni odbor</w:t>
      </w:r>
      <w:r>
        <w:rPr>
          <w:sz w:val="22"/>
          <w:szCs w:val="22"/>
        </w:rPr>
        <w:br/>
      </w:r>
      <w:r>
        <w:rPr>
          <w:b/>
          <w:sz w:val="22"/>
          <w:szCs w:val="22"/>
        </w:rPr>
        <w:br/>
        <w:t>Demografski izazovi u EU-u u svjetlu gospodarskih i razvojnih nejednakosti</w:t>
      </w:r>
      <w:r>
        <w:rPr>
          <w:b/>
          <w:sz w:val="22"/>
          <w:szCs w:val="22"/>
        </w:rPr>
        <w:br/>
      </w:r>
      <w:r>
        <w:rPr>
          <w:b/>
          <w:sz w:val="22"/>
          <w:szCs w:val="22"/>
        </w:rPr>
        <w:br/>
      </w:r>
      <w:r>
        <w:rPr>
          <w:sz w:val="22"/>
          <w:szCs w:val="22"/>
        </w:rPr>
        <w:t>(Razmatračko mišljenje na zahtjev hrvatskog predsjedništva)</w:t>
      </w:r>
    </w:p>
    <w:p w14:paraId="27275C47" w14:textId="77777777" w:rsidR="009B30AA" w:rsidRPr="005211DB" w:rsidRDefault="009B30AA" w:rsidP="0005438B">
      <w:pPr>
        <w:widowControl/>
        <w:overflowPunct/>
        <w:adjustRightInd/>
        <w:jc w:val="center"/>
        <w:textAlignment w:val="auto"/>
        <w:rPr>
          <w:sz w:val="22"/>
          <w:szCs w:val="22"/>
        </w:rPr>
      </w:pPr>
    </w:p>
    <w:p w14:paraId="0F2E8E34" w14:textId="77777777" w:rsidR="00704FBB" w:rsidRPr="005211DB" w:rsidRDefault="000B08C0" w:rsidP="0005438B">
      <w:pPr>
        <w:widowControl/>
        <w:overflowPunct/>
        <w:adjustRightInd/>
        <w:jc w:val="center"/>
        <w:textAlignment w:val="auto"/>
        <w:rPr>
          <w:b/>
          <w:sz w:val="22"/>
          <w:szCs w:val="22"/>
        </w:rPr>
      </w:pPr>
      <w:r>
        <w:rPr>
          <w:sz w:val="22"/>
          <w:szCs w:val="22"/>
        </w:rPr>
        <w:t xml:space="preserve">Izvjestitelj: </w:t>
      </w:r>
      <w:r>
        <w:rPr>
          <w:b/>
          <w:sz w:val="22"/>
          <w:szCs w:val="22"/>
        </w:rPr>
        <w:t>Stéphane BUFFETAUT</w:t>
      </w:r>
    </w:p>
    <w:p w14:paraId="08121F89" w14:textId="77777777" w:rsidR="00CC3D76" w:rsidRPr="005211DB" w:rsidRDefault="00CC3D76" w:rsidP="0005438B">
      <w:pPr>
        <w:widowControl/>
        <w:overflowPunct/>
        <w:adjustRightInd/>
        <w:jc w:val="center"/>
        <w:textAlignment w:val="auto"/>
        <w:rPr>
          <w:sz w:val="22"/>
          <w:szCs w:val="22"/>
        </w:rPr>
      </w:pPr>
      <w:r>
        <w:rPr>
          <w:sz w:val="22"/>
          <w:szCs w:val="22"/>
        </w:rPr>
        <w:t xml:space="preserve">Suizvjestitelj: </w:t>
      </w:r>
      <w:r>
        <w:rPr>
          <w:b/>
          <w:bCs/>
          <w:sz w:val="22"/>
          <w:szCs w:val="22"/>
        </w:rPr>
        <w:t>Adam ROGALEWSKI</w:t>
      </w:r>
    </w:p>
    <w:p w14:paraId="3A50788D" w14:textId="77777777" w:rsidR="00E32DC6" w:rsidRPr="005211DB" w:rsidRDefault="00E32DC6" w:rsidP="0005438B">
      <w:pPr>
        <w:widowControl/>
        <w:rPr>
          <w:sz w:val="22"/>
          <w:szCs w:val="22"/>
        </w:rPr>
      </w:pPr>
    </w:p>
    <w:p w14:paraId="3C2D9263" w14:textId="77777777" w:rsidR="00E32DC6" w:rsidRPr="005211DB" w:rsidRDefault="00E32DC6" w:rsidP="0005438B">
      <w:pPr>
        <w:widowControl/>
      </w:pPr>
    </w:p>
    <w:p w14:paraId="3B55BFA6" w14:textId="77777777" w:rsidR="000673B3" w:rsidRPr="005211DB" w:rsidRDefault="000673B3" w:rsidP="0005438B">
      <w:pPr>
        <w:widowControl/>
        <w:sectPr w:rsidR="000673B3" w:rsidRPr="005211DB" w:rsidSect="00344F3C">
          <w:footerReference w:type="default" r:id="rId13"/>
          <w:pgSz w:w="11907" w:h="16839" w:code="9"/>
          <w:pgMar w:top="1417" w:right="1417" w:bottom="1417" w:left="1417" w:header="709" w:footer="709" w:gutter="0"/>
          <w:pgNumType w:start="1"/>
          <w:cols w:space="720"/>
          <w:docGrid w:linePitch="299"/>
        </w:sectPr>
      </w:pPr>
    </w:p>
    <w:p w14:paraId="02BC55C9" w14:textId="77777777" w:rsidR="0012220C" w:rsidRPr="005211DB" w:rsidRDefault="0012220C" w:rsidP="0005438B">
      <w:pPr>
        <w:widowControl/>
        <w:overflowPunct/>
        <w:adjustRightInd/>
        <w:textAlignment w:val="auto"/>
        <w:rPr>
          <w:sz w:val="22"/>
          <w:szCs w:val="22"/>
        </w:rPr>
      </w:pPr>
    </w:p>
    <w:tbl>
      <w:tblPr>
        <w:tblW w:w="5000" w:type="pct"/>
        <w:jc w:val="center"/>
        <w:tblLook w:val="04A0" w:firstRow="1" w:lastRow="0" w:firstColumn="1" w:lastColumn="0" w:noHBand="0" w:noVBand="1"/>
      </w:tblPr>
      <w:tblGrid>
        <w:gridCol w:w="3058"/>
        <w:gridCol w:w="6015"/>
      </w:tblGrid>
      <w:tr w:rsidR="0011656A" w:rsidRPr="005211DB" w14:paraId="658A7D2E" w14:textId="77777777" w:rsidTr="002C2649">
        <w:trPr>
          <w:jc w:val="center"/>
        </w:trPr>
        <w:tc>
          <w:tcPr>
            <w:tcW w:w="3058" w:type="dxa"/>
          </w:tcPr>
          <w:p w14:paraId="0E33AB8E" w14:textId="77777777" w:rsidR="0011656A" w:rsidRPr="005211DB" w:rsidRDefault="0087393A" w:rsidP="0005438B">
            <w:pPr>
              <w:widowControl/>
              <w:overflowPunct/>
              <w:adjustRightInd/>
              <w:jc w:val="left"/>
              <w:textAlignment w:val="auto"/>
              <w:rPr>
                <w:sz w:val="22"/>
                <w:szCs w:val="22"/>
              </w:rPr>
            </w:pPr>
            <w:r>
              <w:rPr>
                <w:sz w:val="22"/>
                <w:szCs w:val="22"/>
              </w:rPr>
              <w:t>Zahtjev hrvatskog predsjedništva Vijeća:</w:t>
            </w:r>
          </w:p>
        </w:tc>
        <w:tc>
          <w:tcPr>
            <w:tcW w:w="6015" w:type="dxa"/>
          </w:tcPr>
          <w:p w14:paraId="6F492E84" w14:textId="77777777" w:rsidR="0011656A" w:rsidRPr="005211DB" w:rsidRDefault="00040E81" w:rsidP="0005438B">
            <w:pPr>
              <w:widowControl/>
              <w:overflowPunct/>
              <w:adjustRightInd/>
              <w:jc w:val="left"/>
              <w:textAlignment w:val="auto"/>
              <w:rPr>
                <w:sz w:val="22"/>
                <w:szCs w:val="22"/>
              </w:rPr>
            </w:pPr>
            <w:r>
              <w:rPr>
                <w:sz w:val="22"/>
                <w:szCs w:val="22"/>
              </w:rPr>
              <w:t>dopis od 10/09/2019</w:t>
            </w:r>
          </w:p>
        </w:tc>
      </w:tr>
      <w:tr w:rsidR="0016503F" w:rsidRPr="005211DB" w14:paraId="1115B388" w14:textId="77777777" w:rsidTr="002C2649">
        <w:trPr>
          <w:trHeight w:val="251"/>
          <w:jc w:val="center"/>
        </w:trPr>
        <w:tc>
          <w:tcPr>
            <w:tcW w:w="3058" w:type="dxa"/>
          </w:tcPr>
          <w:p w14:paraId="0CF1380A" w14:textId="77777777" w:rsidR="0016503F" w:rsidRPr="005211DB" w:rsidRDefault="0016503F" w:rsidP="0005438B">
            <w:pPr>
              <w:widowControl/>
              <w:overflowPunct/>
              <w:adjustRightInd/>
              <w:jc w:val="left"/>
              <w:textAlignment w:val="auto"/>
              <w:rPr>
                <w:sz w:val="22"/>
                <w:szCs w:val="22"/>
              </w:rPr>
            </w:pPr>
            <w:r>
              <w:rPr>
                <w:sz w:val="22"/>
                <w:szCs w:val="22"/>
              </w:rPr>
              <w:t>Pravni temelj:</w:t>
            </w:r>
          </w:p>
        </w:tc>
        <w:tc>
          <w:tcPr>
            <w:tcW w:w="6015" w:type="dxa"/>
          </w:tcPr>
          <w:p w14:paraId="1CFF8172" w14:textId="77777777" w:rsidR="0016503F" w:rsidRPr="005211DB" w:rsidRDefault="0087393A" w:rsidP="0005438B">
            <w:pPr>
              <w:widowControl/>
              <w:overflowPunct/>
              <w:adjustRightInd/>
              <w:textAlignment w:val="auto"/>
              <w:rPr>
                <w:sz w:val="22"/>
                <w:szCs w:val="22"/>
              </w:rPr>
            </w:pPr>
            <w:r>
              <w:rPr>
                <w:sz w:val="22"/>
                <w:szCs w:val="22"/>
              </w:rPr>
              <w:t>članak 304. Ugovora o funkcioniranju Europske unije</w:t>
            </w:r>
          </w:p>
        </w:tc>
      </w:tr>
      <w:tr w:rsidR="0016503F" w:rsidRPr="005211DB" w14:paraId="58609DF5" w14:textId="77777777" w:rsidTr="002C2649">
        <w:trPr>
          <w:trHeight w:val="250"/>
          <w:jc w:val="center"/>
        </w:trPr>
        <w:tc>
          <w:tcPr>
            <w:tcW w:w="3058" w:type="dxa"/>
          </w:tcPr>
          <w:p w14:paraId="089515F7" w14:textId="77777777" w:rsidR="0016503F" w:rsidRPr="005211DB" w:rsidRDefault="0016503F" w:rsidP="0005438B">
            <w:pPr>
              <w:widowControl/>
              <w:overflowPunct/>
              <w:adjustRightInd/>
              <w:jc w:val="left"/>
              <w:textAlignment w:val="auto"/>
              <w:rPr>
                <w:sz w:val="22"/>
                <w:szCs w:val="22"/>
              </w:rPr>
            </w:pPr>
          </w:p>
        </w:tc>
        <w:tc>
          <w:tcPr>
            <w:tcW w:w="6015" w:type="dxa"/>
          </w:tcPr>
          <w:p w14:paraId="5A7868FD" w14:textId="77777777" w:rsidR="0016503F" w:rsidRPr="005211DB" w:rsidRDefault="0016503F" w:rsidP="0005438B">
            <w:pPr>
              <w:widowControl/>
              <w:overflowPunct/>
              <w:adjustRightInd/>
              <w:jc w:val="left"/>
              <w:textAlignment w:val="auto"/>
              <w:rPr>
                <w:sz w:val="22"/>
                <w:szCs w:val="22"/>
              </w:rPr>
            </w:pPr>
          </w:p>
        </w:tc>
      </w:tr>
      <w:tr w:rsidR="008854DA" w:rsidRPr="005211DB" w14:paraId="4DEE179F" w14:textId="77777777" w:rsidTr="002C2649">
        <w:trPr>
          <w:jc w:val="center"/>
        </w:trPr>
        <w:tc>
          <w:tcPr>
            <w:tcW w:w="3058" w:type="dxa"/>
          </w:tcPr>
          <w:p w14:paraId="0D989700" w14:textId="77777777" w:rsidR="008854DA" w:rsidRPr="005211DB" w:rsidRDefault="008854DA" w:rsidP="0005438B">
            <w:pPr>
              <w:widowControl/>
              <w:overflowPunct/>
              <w:adjustRightInd/>
              <w:jc w:val="left"/>
              <w:textAlignment w:val="auto"/>
              <w:rPr>
                <w:sz w:val="22"/>
                <w:szCs w:val="22"/>
              </w:rPr>
            </w:pPr>
            <w:r>
              <w:rPr>
                <w:sz w:val="22"/>
                <w:szCs w:val="22"/>
              </w:rPr>
              <w:t>Nadležna stručna skupina:</w:t>
            </w:r>
          </w:p>
        </w:tc>
        <w:tc>
          <w:tcPr>
            <w:tcW w:w="6015" w:type="dxa"/>
          </w:tcPr>
          <w:p w14:paraId="31E58A0E" w14:textId="77777777" w:rsidR="008854DA" w:rsidRPr="005211DB" w:rsidRDefault="008854DA" w:rsidP="0005438B">
            <w:pPr>
              <w:widowControl/>
              <w:overflowPunct/>
              <w:adjustRightInd/>
              <w:jc w:val="left"/>
              <w:textAlignment w:val="auto"/>
              <w:rPr>
                <w:sz w:val="22"/>
                <w:szCs w:val="22"/>
              </w:rPr>
            </w:pPr>
            <w:r>
              <w:rPr>
                <w:sz w:val="22"/>
                <w:szCs w:val="22"/>
              </w:rPr>
              <w:t>Stručna skupina za zapošljavanje, socijalna pitanja i građanstvo</w:t>
            </w:r>
          </w:p>
        </w:tc>
      </w:tr>
      <w:tr w:rsidR="00A156E6" w:rsidRPr="005211DB" w14:paraId="2E3F1388" w14:textId="77777777" w:rsidTr="002C2649">
        <w:trPr>
          <w:jc w:val="center"/>
        </w:trPr>
        <w:tc>
          <w:tcPr>
            <w:tcW w:w="3058" w:type="dxa"/>
          </w:tcPr>
          <w:p w14:paraId="420D151D" w14:textId="77777777" w:rsidR="00A156E6" w:rsidRPr="005211DB" w:rsidRDefault="00A156E6" w:rsidP="0005438B">
            <w:pPr>
              <w:widowControl/>
              <w:overflowPunct/>
              <w:adjustRightInd/>
              <w:jc w:val="left"/>
              <w:textAlignment w:val="auto"/>
              <w:rPr>
                <w:sz w:val="22"/>
                <w:szCs w:val="22"/>
              </w:rPr>
            </w:pPr>
            <w:r>
              <w:rPr>
                <w:sz w:val="22"/>
                <w:szCs w:val="22"/>
              </w:rPr>
              <w:t>Datum usvajanja u Stručnoj skupini:</w:t>
            </w:r>
          </w:p>
        </w:tc>
        <w:tc>
          <w:tcPr>
            <w:tcW w:w="6015" w:type="dxa"/>
          </w:tcPr>
          <w:p w14:paraId="0AEFD806" w14:textId="5DE25E06" w:rsidR="00A156E6" w:rsidRPr="005211DB" w:rsidRDefault="008B2A27" w:rsidP="0005438B">
            <w:pPr>
              <w:widowControl/>
              <w:overflowPunct/>
              <w:adjustRightInd/>
              <w:jc w:val="left"/>
              <w:textAlignment w:val="auto"/>
              <w:rPr>
                <w:sz w:val="22"/>
                <w:szCs w:val="22"/>
              </w:rPr>
            </w:pPr>
            <w:r>
              <w:rPr>
                <w:sz w:val="22"/>
                <w:szCs w:val="22"/>
              </w:rPr>
              <w:t>3/3/2020</w:t>
            </w:r>
          </w:p>
        </w:tc>
      </w:tr>
      <w:tr w:rsidR="00A156E6" w:rsidRPr="005211DB" w14:paraId="431FA8F3" w14:textId="77777777" w:rsidTr="002C2649">
        <w:trPr>
          <w:jc w:val="center"/>
        </w:trPr>
        <w:tc>
          <w:tcPr>
            <w:tcW w:w="3058" w:type="dxa"/>
          </w:tcPr>
          <w:p w14:paraId="44DD0878" w14:textId="77777777" w:rsidR="00A156E6" w:rsidRPr="005211DB" w:rsidRDefault="00A156E6" w:rsidP="0005438B">
            <w:pPr>
              <w:widowControl/>
              <w:overflowPunct/>
              <w:adjustRightInd/>
              <w:jc w:val="left"/>
              <w:textAlignment w:val="auto"/>
              <w:rPr>
                <w:sz w:val="22"/>
                <w:szCs w:val="22"/>
              </w:rPr>
            </w:pPr>
            <w:r>
              <w:rPr>
                <w:sz w:val="22"/>
                <w:szCs w:val="22"/>
              </w:rPr>
              <w:t>Datum usvajanja na plenarnom zasjedanju:</w:t>
            </w:r>
          </w:p>
        </w:tc>
        <w:tc>
          <w:tcPr>
            <w:tcW w:w="6015" w:type="dxa"/>
          </w:tcPr>
          <w:p w14:paraId="6E9AC90B" w14:textId="512B91EE" w:rsidR="00A156E6" w:rsidRPr="005211DB" w:rsidRDefault="00B90B26" w:rsidP="00B90B26">
            <w:pPr>
              <w:widowControl/>
              <w:overflowPunct/>
              <w:adjustRightInd/>
              <w:jc w:val="left"/>
              <w:textAlignment w:val="auto"/>
              <w:rPr>
                <w:sz w:val="22"/>
                <w:szCs w:val="22"/>
              </w:rPr>
            </w:pPr>
            <w:r>
              <w:rPr>
                <w:sz w:val="22"/>
                <w:szCs w:val="22"/>
              </w:rPr>
              <w:t>7/5/2020</w:t>
            </w:r>
          </w:p>
        </w:tc>
      </w:tr>
      <w:tr w:rsidR="00BA1290" w:rsidRPr="005211DB" w14:paraId="6DE96F67" w14:textId="77777777" w:rsidTr="002C2649">
        <w:trPr>
          <w:jc w:val="center"/>
        </w:trPr>
        <w:tc>
          <w:tcPr>
            <w:tcW w:w="3058" w:type="dxa"/>
          </w:tcPr>
          <w:p w14:paraId="30A15928" w14:textId="77777777" w:rsidR="00BA1290" w:rsidRPr="005211DB" w:rsidRDefault="008053E9" w:rsidP="0005438B">
            <w:pPr>
              <w:widowControl/>
              <w:overflowPunct/>
              <w:adjustRightInd/>
              <w:jc w:val="left"/>
              <w:textAlignment w:val="auto"/>
              <w:rPr>
                <w:sz w:val="22"/>
                <w:szCs w:val="22"/>
              </w:rPr>
            </w:pPr>
            <w:r>
              <w:rPr>
                <w:sz w:val="22"/>
                <w:szCs w:val="22"/>
              </w:rPr>
              <w:t>Plenarno zasjedanje br.:</w:t>
            </w:r>
          </w:p>
        </w:tc>
        <w:tc>
          <w:tcPr>
            <w:tcW w:w="6015" w:type="dxa"/>
          </w:tcPr>
          <w:p w14:paraId="38E61611" w14:textId="0F8A393F" w:rsidR="00BA1290" w:rsidRPr="005211DB" w:rsidRDefault="00A303E1" w:rsidP="0005438B">
            <w:pPr>
              <w:widowControl/>
              <w:overflowPunct/>
              <w:adjustRightInd/>
              <w:jc w:val="left"/>
              <w:textAlignment w:val="auto"/>
              <w:rPr>
                <w:sz w:val="22"/>
                <w:szCs w:val="22"/>
              </w:rPr>
            </w:pPr>
            <w:r>
              <w:rPr>
                <w:sz w:val="22"/>
                <w:szCs w:val="22"/>
              </w:rPr>
              <w:t>plenarno zasjedanje na daljinu</w:t>
            </w:r>
          </w:p>
        </w:tc>
      </w:tr>
      <w:tr w:rsidR="00A156E6" w:rsidRPr="005211DB" w14:paraId="6680AE3D" w14:textId="77777777" w:rsidTr="002C2649">
        <w:trPr>
          <w:jc w:val="center"/>
        </w:trPr>
        <w:tc>
          <w:tcPr>
            <w:tcW w:w="3058" w:type="dxa"/>
          </w:tcPr>
          <w:p w14:paraId="2F63AB78" w14:textId="77777777" w:rsidR="00D423D4" w:rsidRPr="005211DB" w:rsidRDefault="0043024C" w:rsidP="0005438B">
            <w:pPr>
              <w:widowControl/>
              <w:overflowPunct/>
              <w:adjustRightInd/>
              <w:jc w:val="left"/>
              <w:rPr>
                <w:sz w:val="22"/>
                <w:szCs w:val="22"/>
              </w:rPr>
            </w:pPr>
            <w:r>
              <w:rPr>
                <w:sz w:val="22"/>
                <w:szCs w:val="22"/>
              </w:rPr>
              <w:t>Rezultat glasovanja</w:t>
            </w:r>
            <w:r>
              <w:rPr>
                <w:sz w:val="22"/>
                <w:szCs w:val="22"/>
              </w:rPr>
              <w:br/>
              <w:t>(za/protiv/suzdržani):</w:t>
            </w:r>
          </w:p>
        </w:tc>
        <w:tc>
          <w:tcPr>
            <w:tcW w:w="6015" w:type="dxa"/>
            <w:vAlign w:val="bottom"/>
          </w:tcPr>
          <w:p w14:paraId="1DB5E78C" w14:textId="36748F99" w:rsidR="00A156E6" w:rsidRPr="005211DB" w:rsidRDefault="003301E5" w:rsidP="003301E5">
            <w:pPr>
              <w:widowControl/>
              <w:overflowPunct/>
              <w:adjustRightInd/>
              <w:jc w:val="left"/>
              <w:textAlignment w:val="auto"/>
              <w:rPr>
                <w:sz w:val="22"/>
                <w:szCs w:val="22"/>
              </w:rPr>
            </w:pPr>
            <w:r>
              <w:rPr>
                <w:sz w:val="22"/>
                <w:szCs w:val="22"/>
              </w:rPr>
              <w:t>249/0/12</w:t>
            </w:r>
          </w:p>
        </w:tc>
      </w:tr>
    </w:tbl>
    <w:p w14:paraId="71A945D4" w14:textId="77777777" w:rsidR="0090053A" w:rsidRPr="005211DB" w:rsidRDefault="0090053A" w:rsidP="0005438B">
      <w:pPr>
        <w:widowControl/>
        <w:overflowPunct/>
        <w:adjustRightInd/>
        <w:textAlignment w:val="auto"/>
      </w:pPr>
    </w:p>
    <w:p w14:paraId="05E8D6E5" w14:textId="77777777" w:rsidR="00646AC2" w:rsidRPr="005211DB" w:rsidRDefault="00646AC2" w:rsidP="0005438B">
      <w:pPr>
        <w:widowControl/>
        <w:overflowPunct/>
        <w:adjustRightInd/>
        <w:textAlignment w:val="auto"/>
      </w:pPr>
      <w:r>
        <w:br w:type="page"/>
      </w:r>
    </w:p>
    <w:p w14:paraId="5088D2DA" w14:textId="77777777" w:rsidR="00011D33" w:rsidRPr="005211DB" w:rsidRDefault="00011D33" w:rsidP="0005438B">
      <w:pPr>
        <w:pStyle w:val="Heading1"/>
        <w:keepNext/>
        <w:widowControl/>
        <w:ind w:left="567" w:hanging="567"/>
        <w:rPr>
          <w:b/>
          <w:sz w:val="22"/>
          <w:szCs w:val="22"/>
        </w:rPr>
      </w:pPr>
      <w:r>
        <w:rPr>
          <w:b/>
          <w:sz w:val="22"/>
          <w:szCs w:val="22"/>
        </w:rPr>
        <w:lastRenderedPageBreak/>
        <w:t>Zaključci i preporuke</w:t>
      </w:r>
    </w:p>
    <w:p w14:paraId="2C0DCFDC" w14:textId="460FE78A" w:rsidR="00011D33" w:rsidRDefault="00011D33" w:rsidP="0005438B">
      <w:pPr>
        <w:keepNext/>
        <w:widowControl/>
        <w:ind w:left="567" w:hanging="567"/>
        <w:rPr>
          <w:sz w:val="22"/>
          <w:szCs w:val="22"/>
        </w:rPr>
      </w:pPr>
    </w:p>
    <w:p w14:paraId="6B32707F" w14:textId="77777777" w:rsidR="00E95139" w:rsidRPr="005211DB" w:rsidRDefault="00E95139" w:rsidP="0005438B">
      <w:pPr>
        <w:keepNext/>
        <w:widowControl/>
        <w:ind w:left="567" w:hanging="567"/>
        <w:rPr>
          <w:sz w:val="22"/>
          <w:szCs w:val="22"/>
        </w:rPr>
      </w:pPr>
    </w:p>
    <w:p w14:paraId="15649685" w14:textId="462DF060" w:rsidR="00D00B0E" w:rsidRDefault="00D00B0E" w:rsidP="0005438B">
      <w:pPr>
        <w:pStyle w:val="Heading2"/>
        <w:widowControl/>
        <w:numPr>
          <w:ilvl w:val="1"/>
          <w:numId w:val="72"/>
        </w:numPr>
        <w:ind w:left="567" w:hanging="567"/>
        <w:rPr>
          <w:iCs/>
          <w:sz w:val="22"/>
          <w:szCs w:val="22"/>
        </w:rPr>
      </w:pPr>
      <w:r>
        <w:rPr>
          <w:iCs/>
          <w:sz w:val="22"/>
          <w:szCs w:val="22"/>
        </w:rPr>
        <w:t>Mišljenje je sastavljeno prije izbijanja pandemije COVID-a 19. EGSO je svjestan da će kriza izazvana COVID-om 19 znatno utjecati na buduće politike EU-a u području demografskih izazova i sve većih nejednakosti među državama članicama. Stoga Odbor potiče EU da osmisli relevantne politike s ambicioznim financijskim sredstvima kako bi se građane zaštitilo od štetnih posljedica pandemije i, što je najvažnije, gospodarske krize koja će uslijediti te kako bi se ublažili negativni socijalni učinci. Takve bi politike trebalo smjesta osmisliti, i to uz savjetovanje sa socijalnim partnerima i organiziranim civilnim društvom.</w:t>
      </w:r>
    </w:p>
    <w:p w14:paraId="5AE69590" w14:textId="77777777" w:rsidR="00B02CDC" w:rsidRPr="009375CD" w:rsidRDefault="00B02CDC" w:rsidP="0058469D">
      <w:pPr>
        <w:rPr>
          <w:sz w:val="22"/>
          <w:szCs w:val="22"/>
        </w:rPr>
      </w:pPr>
    </w:p>
    <w:p w14:paraId="28EBFC85" w14:textId="67647EE2" w:rsidR="0038606B" w:rsidRPr="0058469D" w:rsidRDefault="0038606B" w:rsidP="0058469D">
      <w:pPr>
        <w:pStyle w:val="Heading2"/>
        <w:ind w:left="567" w:hanging="567"/>
        <w:rPr>
          <w:sz w:val="22"/>
          <w:szCs w:val="22"/>
        </w:rPr>
      </w:pPr>
      <w:r>
        <w:rPr>
          <w:sz w:val="22"/>
          <w:szCs w:val="22"/>
        </w:rPr>
        <w:t>Trenutačna demografska situacija koja vlada u EU-u zahtijeva holistički pristup koji obuhvaća socijalne i gospodarske politike, politike aktivnog tržišta rada, kohezijske politike i politike kojima se podupiru obitelji (posebice usklađivanje privatnog i obiteljskog života s poslovnim životom), posebne mjere za starije radnike, politike za aktivno i zdravo starenje te integrativne politike i mjere za održivu imigraciju i sprečavanje odljeva mozgova.</w:t>
      </w:r>
    </w:p>
    <w:p w14:paraId="00434CBE" w14:textId="77777777" w:rsidR="00C443FA" w:rsidRPr="005211DB" w:rsidRDefault="00C443FA" w:rsidP="0005438B">
      <w:pPr>
        <w:widowControl/>
        <w:ind w:left="567" w:hanging="567"/>
      </w:pPr>
    </w:p>
    <w:p w14:paraId="30E3C102" w14:textId="26904892" w:rsidR="0038606B" w:rsidRPr="005211DB" w:rsidRDefault="00B234BC" w:rsidP="0005438B">
      <w:pPr>
        <w:pStyle w:val="Heading2"/>
        <w:widowControl/>
        <w:ind w:left="567" w:hanging="567"/>
        <w:rPr>
          <w:sz w:val="22"/>
          <w:szCs w:val="22"/>
        </w:rPr>
      </w:pPr>
      <w:r>
        <w:rPr>
          <w:sz w:val="22"/>
          <w:szCs w:val="22"/>
        </w:rPr>
        <w:t xml:space="preserve">Budući da je malo vjerojatno da će doći do drugog </w:t>
      </w:r>
      <w:r>
        <w:rPr>
          <w:i/>
          <w:sz w:val="22"/>
          <w:szCs w:val="22"/>
        </w:rPr>
        <w:t>baby booma</w:t>
      </w:r>
      <w:r>
        <w:rPr>
          <w:sz w:val="22"/>
          <w:szCs w:val="22"/>
        </w:rPr>
        <w:t>, od odsudne je važnosti povećati broj ljudi koji sudjeluje na tržištu rada kako bismo se mogli suočiti s posljedicama europske demografske situacije. U prevelikom broju država članica razina nezaposlenosti, podzaposlenosti i neaktivnosti previsoka je, posebno kad je riječ o mladima među kojima je stopa nezaposlenosti u svim državama članicama približno dvostruko veća od prosječne stope nezaposlenosti. Borba protiv nezaposlenosti za EU treba biti prioritet.</w:t>
      </w:r>
    </w:p>
    <w:p w14:paraId="36691775" w14:textId="77777777" w:rsidR="00D65CA9" w:rsidRPr="005211DB" w:rsidRDefault="00D65CA9" w:rsidP="0005438B">
      <w:pPr>
        <w:widowControl/>
        <w:ind w:left="567" w:hanging="567"/>
      </w:pPr>
    </w:p>
    <w:p w14:paraId="67B22AB1" w14:textId="6935CE09" w:rsidR="0038606B" w:rsidRPr="005211DB" w:rsidRDefault="0038606B" w:rsidP="0005438B">
      <w:pPr>
        <w:pStyle w:val="Heading2"/>
        <w:widowControl/>
        <w:ind w:left="567" w:hanging="567"/>
        <w:rPr>
          <w:sz w:val="22"/>
          <w:szCs w:val="22"/>
        </w:rPr>
      </w:pPr>
      <w:r>
        <w:rPr>
          <w:sz w:val="22"/>
          <w:szCs w:val="22"/>
        </w:rPr>
        <w:t>Jedan od faktora koji utječu na demografsku dinamiku jest povjerenje u budućnost, zbog čega je Europskoj uniji potrebno jako gospodarstvo i jaka socijalna politika. U suprotnom Europljanke i Europljani, a pogotovo mladi, neće imati povjerenja u budućnost, što će ih učiniti socijalno i ekonomski nesigurnima i odvratiti od imanja djece. Zato je provedba europskog stupa socijalnih prava važan faktor poboljšanja demografskog stanja u EU-u. EGSO stoga pozitivno gleda na namjeru Komisije da pripremi akcijski plan za njegovu provedbu na temelju opsežnog postupka savjetovanja.</w:t>
      </w:r>
    </w:p>
    <w:p w14:paraId="391CB8FE" w14:textId="77777777" w:rsidR="00C443FA" w:rsidRPr="005211DB" w:rsidRDefault="00C443FA" w:rsidP="0005438B">
      <w:pPr>
        <w:widowControl/>
        <w:ind w:left="567" w:hanging="567"/>
      </w:pPr>
    </w:p>
    <w:p w14:paraId="1DF1C94F" w14:textId="5E1A0318" w:rsidR="0038606B" w:rsidRPr="005211DB" w:rsidRDefault="00B234BC" w:rsidP="0005438B">
      <w:pPr>
        <w:pStyle w:val="Heading2"/>
        <w:widowControl/>
        <w:ind w:left="567" w:hanging="567"/>
        <w:rPr>
          <w:sz w:val="22"/>
          <w:szCs w:val="22"/>
        </w:rPr>
      </w:pPr>
      <w:r>
        <w:rPr>
          <w:sz w:val="22"/>
          <w:szCs w:val="22"/>
        </w:rPr>
        <w:t>Djeca ne smiju biti prepreka građenju profesionalne karijere niti razlog osiromašenju ili gubitku kupovne moći, posebice u velikim obiteljima. Važno je održavati i provoditi stabilne i proaktivne obiteljske politike i politike tržišta rada usmjerene na ljude što uključuje mjere za promicanje ravnoteže između privatnog, obiteljskog i poslovnog života (roditeljski dopust, skrb za djecu i druge vrste skrbi, programi rada na daljinu, fleksibilan rad) te financijsku i obrazovnu potporu. Posebnu pozornost treba posvećivati jednoroditeljskim i većim obiteljima kojima prijeti veći rizik od siromaštva. Stabilne i raznolike obiteljske politike prilagođene kulturnom okruženju pokazale su se korisnima za povećanje stope plodnosti.</w:t>
      </w:r>
    </w:p>
    <w:p w14:paraId="5C1A3A2C" w14:textId="20A181A9" w:rsidR="00C6683E" w:rsidRPr="005211DB" w:rsidRDefault="00C6683E" w:rsidP="006763CD"/>
    <w:p w14:paraId="6EF7EDE8" w14:textId="53416CC7" w:rsidR="00C6683E" w:rsidRPr="005211DB" w:rsidRDefault="00C6683E">
      <w:pPr>
        <w:pStyle w:val="Heading2"/>
        <w:widowControl/>
        <w:ind w:left="567" w:hanging="567"/>
        <w:rPr>
          <w:sz w:val="22"/>
          <w:szCs w:val="22"/>
        </w:rPr>
      </w:pPr>
      <w:r>
        <w:rPr>
          <w:sz w:val="22"/>
          <w:szCs w:val="22"/>
        </w:rPr>
        <w:t>Nesigurni radni uvjeti, nedostatak stabilnih izgleda na tržištu rada i poteškoće pri unajmljivanju ili kupovini odgovarajućih stambenih objekata, posebno u velikim gradovima i velegradskim područjima, stvarnost su s kojom se suočavaju mnogi mladi ljudi. Zbog toga ne mogu planirati budućnost, postati neovisni i osnovati obitelj. U politikama EU-a i nacionalnim politikama trebalo bi rješavanju tog pitanja posvetiti veću pažnju.</w:t>
      </w:r>
    </w:p>
    <w:p w14:paraId="5FC497CA" w14:textId="77777777" w:rsidR="00C443FA" w:rsidRPr="005211DB" w:rsidRDefault="00C443FA" w:rsidP="0005438B">
      <w:pPr>
        <w:widowControl/>
        <w:ind w:left="567" w:hanging="567"/>
        <w:rPr>
          <w:sz w:val="22"/>
          <w:szCs w:val="22"/>
        </w:rPr>
      </w:pPr>
    </w:p>
    <w:p w14:paraId="14001426" w14:textId="10347E82" w:rsidR="0038606B" w:rsidRPr="005211DB" w:rsidRDefault="00E23A11" w:rsidP="0005438B">
      <w:pPr>
        <w:pStyle w:val="Heading2"/>
        <w:widowControl/>
        <w:ind w:left="567" w:hanging="567"/>
        <w:rPr>
          <w:sz w:val="22"/>
          <w:szCs w:val="22"/>
        </w:rPr>
      </w:pPr>
      <w:r>
        <w:rPr>
          <w:sz w:val="22"/>
          <w:szCs w:val="22"/>
        </w:rPr>
        <w:t>Unutarnja mobilnost temeljna je sloboda EU-a koja jača europsku konkurentnost i građanima pruža mogućnosti. Mobilnost unutar EU-a i odljev radne snage i mozgova povezan s unutarnjim migracijama problemi su koji se najbolje rješavaju uzlaznom socijalnom i gospodarskom konvergencijom država članica, ali za nju treba vremena. Europski fond za regionalni razvoj, Kohezijski fond i Europski socijalni fond moraju se posebno usmjeriti na to da državama članicama EU-a koje postižu slabije gospodarske rezultate, a žele ostati (ili postati) privlačnije svom stanovništvu, pomognu razviti projekte kojima se poboljšava njihov socijalni i gospodarski razvoj. U svrhu obostranog obogaćivanja mogu se predvidjeti mjere kojima se ljude potiče na povratak u svoju zemlju podrijetla.</w:t>
      </w:r>
    </w:p>
    <w:p w14:paraId="48DF3898" w14:textId="77777777" w:rsidR="00D65CA9" w:rsidRPr="005211DB" w:rsidRDefault="00D65CA9" w:rsidP="0005438B">
      <w:pPr>
        <w:widowControl/>
        <w:ind w:left="567" w:hanging="567"/>
        <w:rPr>
          <w:sz w:val="22"/>
          <w:szCs w:val="22"/>
        </w:rPr>
      </w:pPr>
    </w:p>
    <w:p w14:paraId="5E3E36CC" w14:textId="0D988A83" w:rsidR="0038606B" w:rsidRPr="005211DB" w:rsidRDefault="00BC208F" w:rsidP="0005438B">
      <w:pPr>
        <w:pStyle w:val="Heading2"/>
        <w:widowControl/>
        <w:ind w:left="567" w:hanging="567"/>
        <w:rPr>
          <w:sz w:val="22"/>
          <w:szCs w:val="22"/>
        </w:rPr>
      </w:pPr>
      <w:r>
        <w:rPr>
          <w:sz w:val="22"/>
          <w:szCs w:val="22"/>
        </w:rPr>
        <w:t>Gospodarsko i socijalno okruženje važan je čimbenik privlačnosti. EGSO smatra da ulaganjima u učinkovite javne usluge i ulaganjima usmjerenima na obitelj treba dati prioritet jer ona postavljaju temelje za budućnost. Veća javna ulaganja u državama članicama mogu se olakšati pozivanjem na „zlatno pravilo” za ulaganja u socijalne svrhe kako bi se omogućila veća fleksibilnost u pogledu proračunskih pravila.</w:t>
      </w:r>
    </w:p>
    <w:p w14:paraId="13C90CE0" w14:textId="77777777" w:rsidR="00C443FA" w:rsidRPr="005211DB" w:rsidRDefault="00C443FA" w:rsidP="0005438B">
      <w:pPr>
        <w:widowControl/>
        <w:ind w:left="567" w:hanging="567"/>
        <w:rPr>
          <w:sz w:val="22"/>
          <w:szCs w:val="22"/>
        </w:rPr>
      </w:pPr>
    </w:p>
    <w:p w14:paraId="22FF9BE8" w14:textId="60BF68E3" w:rsidR="0038606B" w:rsidRPr="005211DB" w:rsidRDefault="009E431D" w:rsidP="0005438B">
      <w:pPr>
        <w:pStyle w:val="Heading2"/>
        <w:widowControl/>
        <w:ind w:left="567" w:hanging="567"/>
        <w:rPr>
          <w:sz w:val="22"/>
          <w:szCs w:val="22"/>
        </w:rPr>
      </w:pPr>
      <w:r>
        <w:rPr>
          <w:sz w:val="22"/>
          <w:szCs w:val="22"/>
        </w:rPr>
        <w:t>Imigracija sama po sebi možda neće riješiti europske demografske probleme, ali može u tome pomoći. Imigracija bi kratkoročno mogla pozitivno utjecati na rast stanovništva i radne snage pod uvjetom da se istovremeno donesu pravedne i održive integracijske politike koje pridošlicama pomažu da se skrase i izbjegnu poteškoće povezane s integracijom.</w:t>
      </w:r>
    </w:p>
    <w:p w14:paraId="2A5DB5E0" w14:textId="77777777" w:rsidR="00011D33" w:rsidRPr="005211DB" w:rsidRDefault="00011D33" w:rsidP="0005438B">
      <w:pPr>
        <w:widowControl/>
        <w:ind w:left="567" w:hanging="567"/>
        <w:rPr>
          <w:sz w:val="22"/>
          <w:szCs w:val="22"/>
        </w:rPr>
      </w:pPr>
    </w:p>
    <w:p w14:paraId="6817100A" w14:textId="77777777" w:rsidR="005565AC" w:rsidRPr="005211DB" w:rsidRDefault="00D74091" w:rsidP="0005438B">
      <w:pPr>
        <w:pStyle w:val="Heading1"/>
        <w:keepNext/>
        <w:keepLines/>
        <w:widowControl/>
        <w:ind w:left="567" w:hanging="567"/>
        <w:rPr>
          <w:b/>
          <w:sz w:val="22"/>
          <w:szCs w:val="22"/>
        </w:rPr>
      </w:pPr>
      <w:r>
        <w:rPr>
          <w:b/>
          <w:sz w:val="22"/>
          <w:szCs w:val="22"/>
        </w:rPr>
        <w:t>Trenutačno stanje</w:t>
      </w:r>
    </w:p>
    <w:p w14:paraId="57CF3C47" w14:textId="77777777" w:rsidR="005565AC" w:rsidRPr="005211DB" w:rsidRDefault="005565AC" w:rsidP="0005438B">
      <w:pPr>
        <w:keepNext/>
        <w:keepLines/>
        <w:widowControl/>
        <w:ind w:left="567" w:hanging="567"/>
        <w:rPr>
          <w:sz w:val="22"/>
          <w:szCs w:val="22"/>
        </w:rPr>
      </w:pPr>
    </w:p>
    <w:p w14:paraId="4448582B" w14:textId="44DFCE4F" w:rsidR="005565AC" w:rsidRPr="005211DB" w:rsidRDefault="00390BD5" w:rsidP="0005438B">
      <w:pPr>
        <w:pStyle w:val="Heading2"/>
        <w:widowControl/>
        <w:ind w:left="567" w:hanging="567"/>
        <w:rPr>
          <w:sz w:val="22"/>
          <w:szCs w:val="22"/>
        </w:rPr>
      </w:pPr>
      <w:r>
        <w:rPr>
          <w:sz w:val="22"/>
          <w:szCs w:val="22"/>
        </w:rPr>
        <w:t>Na veličinu populacije utječu plodnost, smrtnost i migracije. Iako je situacija u svakoj zemlji različita, na razini EU-a zamijećena je opća konvergencija, odnosno tendencija smanjenja stopa plodnosti i smrtnosti. Usprkos tome što među zemljama postoje određene razlike, stopa plodnosti u državama članicama često je znatno i trajno ispod praga potrebnog za generacijsku obnovu. Čak i u okviru globalnog trenda smanjenja stopa smrtnosti i plodnosti (demografska tranzicija), Europa u tom pogledu predstavlja iznimku.</w:t>
      </w:r>
    </w:p>
    <w:p w14:paraId="266B4470" w14:textId="77777777" w:rsidR="005565AC" w:rsidRPr="005211DB" w:rsidRDefault="005565AC" w:rsidP="0005438B">
      <w:pPr>
        <w:widowControl/>
        <w:ind w:left="567" w:hanging="567"/>
        <w:rPr>
          <w:sz w:val="22"/>
          <w:szCs w:val="22"/>
        </w:rPr>
      </w:pPr>
    </w:p>
    <w:p w14:paraId="0E292AB0" w14:textId="2EA610A3" w:rsidR="005565AC" w:rsidRPr="005211DB" w:rsidRDefault="005565AC" w:rsidP="0005438B">
      <w:pPr>
        <w:pStyle w:val="Heading2"/>
        <w:widowControl/>
        <w:ind w:left="567" w:hanging="567"/>
        <w:rPr>
          <w:sz w:val="22"/>
          <w:szCs w:val="22"/>
        </w:rPr>
      </w:pPr>
      <w:r>
        <w:rPr>
          <w:sz w:val="22"/>
          <w:szCs w:val="22"/>
        </w:rPr>
        <w:t>Od 1950. do 1989. broj stanovnika Europe uvijek se povećavao za više od 2 milijuna godišnje. Nakon 1990. godine rast je ispod 1.5 milijuna godišnje. Prosječan demografski rast zabilježen u ostatku svijeta u istom razdoblju bio je razvidno viši od europskog. Primjerice, 1950. godine u Europi je živjelo 21 7 % svjetskog stanovništva, a ta je brojka 2017. godine spala na 10 %. Njezin udio u broju stanovnika nikad nije bio manji</w:t>
      </w:r>
      <w:r w:rsidR="00146FC3" w:rsidRPr="005211DB">
        <w:rPr>
          <w:rStyle w:val="FootnoteReference"/>
          <w:szCs w:val="24"/>
        </w:rPr>
        <w:footnoteReference w:id="1"/>
      </w:r>
      <w:r>
        <w:rPr>
          <w:sz w:val="22"/>
          <w:szCs w:val="22"/>
        </w:rPr>
        <w:t xml:space="preserve">. </w:t>
      </w:r>
    </w:p>
    <w:p w14:paraId="5C574B12" w14:textId="77777777" w:rsidR="00396582" w:rsidRPr="005211DB" w:rsidRDefault="00396582" w:rsidP="0005438B">
      <w:pPr>
        <w:widowControl/>
        <w:ind w:left="567" w:hanging="567"/>
        <w:rPr>
          <w:sz w:val="22"/>
          <w:szCs w:val="22"/>
        </w:rPr>
      </w:pPr>
    </w:p>
    <w:p w14:paraId="1BE7E707" w14:textId="29A9CD85" w:rsidR="005565AC" w:rsidRPr="005211DB" w:rsidRDefault="00146FC3" w:rsidP="0005438B">
      <w:pPr>
        <w:pStyle w:val="Heading2"/>
        <w:widowControl/>
        <w:ind w:left="567" w:hanging="567"/>
        <w:rPr>
          <w:sz w:val="22"/>
          <w:szCs w:val="22"/>
        </w:rPr>
      </w:pPr>
      <w:r>
        <w:rPr>
          <w:sz w:val="22"/>
          <w:szCs w:val="22"/>
        </w:rPr>
        <w:t>Stopa nataliteta bila je takva da se u razdoblju od 1952. do 1961. u Europi svake godine rađalo više od 12 milijuna djece. Taj se broj 2000. godine smanjio na 7,3 milijuna. Do neznatnog povećanja došlo je zahvaljujući migracijama, dovođenju relativno mladog stanovništva u Europu i poboljšanju nataliteta u manjem broju zemalja EU-a. Broj rođenih trenutačno varira između 7 i 8 milijuna godišnje,</w:t>
      </w:r>
    </w:p>
    <w:p w14:paraId="2A96CA31" w14:textId="77777777" w:rsidR="00396582" w:rsidRPr="005211DB" w:rsidRDefault="00396582" w:rsidP="0005438B">
      <w:pPr>
        <w:widowControl/>
        <w:ind w:left="567" w:hanging="567"/>
        <w:rPr>
          <w:sz w:val="22"/>
          <w:szCs w:val="22"/>
        </w:rPr>
      </w:pPr>
    </w:p>
    <w:p w14:paraId="75D77AB0" w14:textId="77777777" w:rsidR="005565AC" w:rsidRPr="005211DB" w:rsidRDefault="005565AC" w:rsidP="0005438B">
      <w:pPr>
        <w:pStyle w:val="Heading2"/>
        <w:widowControl/>
        <w:ind w:left="567" w:hanging="567"/>
        <w:rPr>
          <w:sz w:val="22"/>
          <w:szCs w:val="22"/>
        </w:rPr>
      </w:pPr>
      <w:r>
        <w:rPr>
          <w:sz w:val="22"/>
          <w:szCs w:val="22"/>
        </w:rPr>
        <w:lastRenderedPageBreak/>
        <w:t>što treba promatrati u odnosu na stopu smrtnosti. Smrtnost se kreće u oba smjera, i prema gore i prema dolje: u porastu je zbog duboke starosti brojnih generacija, a u padu zahvaljujući boljim sanitarnim i zdravstvenim uvjetima te zdravijem načinu života koji su očekivani životni vijek Europljana produljili na 78 godina za muškarce i 83 godine za žene (u EU-28). Od 1992. godine ukupan broj umrlih u Europi iznosi od 8 do 8,5 milijuna godišnje.</w:t>
      </w:r>
    </w:p>
    <w:p w14:paraId="668A9750" w14:textId="77777777" w:rsidR="00396582" w:rsidRPr="005211DB" w:rsidRDefault="00396582" w:rsidP="0005438B">
      <w:pPr>
        <w:widowControl/>
        <w:ind w:left="567" w:hanging="567"/>
        <w:rPr>
          <w:sz w:val="22"/>
          <w:szCs w:val="22"/>
        </w:rPr>
      </w:pPr>
    </w:p>
    <w:p w14:paraId="6DDBCF1F" w14:textId="79823EA1" w:rsidR="005565AC" w:rsidRPr="005211DB" w:rsidRDefault="00D4769E" w:rsidP="0005438B">
      <w:pPr>
        <w:pStyle w:val="Heading2"/>
        <w:widowControl/>
        <w:ind w:left="567" w:hanging="567"/>
        <w:rPr>
          <w:sz w:val="22"/>
          <w:szCs w:val="22"/>
        </w:rPr>
      </w:pPr>
      <w:r>
        <w:rPr>
          <w:sz w:val="22"/>
          <w:szCs w:val="22"/>
        </w:rPr>
        <w:t>Nakon 1994. godine u Europi se svake godine bilježi depopulacija: negativna prirodna ravnoteža kao posljedica većeg broja umrlih nego rođenih. S problemom depopulacije suočavaju se: Njemačka, Bugarska, Hrvatska, Španjolska, Estonija, Finska, Grčka, Mađarska, Italija, Latvija, Litva, Portugal, Rumunjska i Slovenija.</w:t>
      </w:r>
    </w:p>
    <w:p w14:paraId="24A5CA28" w14:textId="77777777" w:rsidR="00396582" w:rsidRPr="005211DB" w:rsidRDefault="00396582" w:rsidP="0005438B">
      <w:pPr>
        <w:widowControl/>
        <w:ind w:left="567" w:hanging="567"/>
        <w:rPr>
          <w:sz w:val="22"/>
          <w:szCs w:val="22"/>
        </w:rPr>
      </w:pPr>
    </w:p>
    <w:p w14:paraId="0749179B" w14:textId="1E3108FC" w:rsidR="005565AC" w:rsidRPr="005211DB" w:rsidRDefault="005565AC" w:rsidP="0005438B">
      <w:pPr>
        <w:pStyle w:val="Heading2"/>
        <w:widowControl/>
        <w:ind w:left="567" w:hanging="567"/>
        <w:rPr>
          <w:sz w:val="22"/>
          <w:szCs w:val="22"/>
        </w:rPr>
      </w:pPr>
      <w:r>
        <w:rPr>
          <w:sz w:val="22"/>
          <w:szCs w:val="22"/>
        </w:rPr>
        <w:t xml:space="preserve">Unatoč migrantima, koji su mlađi od domaćeg stanovništva, stanovništvo Europe 21. stoljeća sve je starije. Udio ljudi u dobi od 65 godina i više u ukupnom stanovništvu povećao se s 12,5 % (1989.) na 18,8 % (2019.). </w:t>
      </w:r>
      <w:r>
        <w:rPr>
          <w:color w:val="222222"/>
          <w:sz w:val="22"/>
          <w:szCs w:val="22"/>
          <w:shd w:val="clear" w:color="auto" w:fill="FFFFFF"/>
        </w:rPr>
        <w:t xml:space="preserve">EGSO je već naglasio da je stopa aktivnosti radno sposobnog stanovništva važnija od stope ovisnosti starijeg stanovništva tj, omjera između broja radno sposobnih stanovnika i broja stanovnika starijih od 65 godina. </w:t>
      </w:r>
      <w:r>
        <w:rPr>
          <w:sz w:val="22"/>
          <w:szCs w:val="22"/>
        </w:rPr>
        <w:t>Stoga treba iskoristiti potencijal nezaposlenih i podzaposlenih. Bolja integracija imigranata na tržište rada i bolji pristup nezaposlenih osoba i osoba na nesigurnim radnim mjestima osposobljavanju ključni su aspekti upravljanja demografskim izazovima povezanima s dugovječnošću.</w:t>
      </w:r>
    </w:p>
    <w:p w14:paraId="1A1B5C32" w14:textId="77777777" w:rsidR="00C071C7" w:rsidRPr="005211DB" w:rsidRDefault="00C071C7" w:rsidP="0005438B">
      <w:pPr>
        <w:widowControl/>
        <w:ind w:left="567" w:hanging="567"/>
        <w:rPr>
          <w:sz w:val="22"/>
          <w:szCs w:val="22"/>
        </w:rPr>
      </w:pPr>
    </w:p>
    <w:p w14:paraId="26AC9733" w14:textId="0BD0E695" w:rsidR="0074759E" w:rsidRPr="005211DB" w:rsidRDefault="00EF7C7D" w:rsidP="0005438B">
      <w:pPr>
        <w:pStyle w:val="Heading2"/>
        <w:widowControl/>
        <w:ind w:left="567" w:hanging="567"/>
        <w:rPr>
          <w:sz w:val="22"/>
          <w:szCs w:val="22"/>
        </w:rPr>
      </w:pPr>
      <w:r>
        <w:rPr>
          <w:sz w:val="22"/>
          <w:szCs w:val="22"/>
        </w:rPr>
        <w:t xml:space="preserve">Pojedine države članice nose se s visokom stopom mobilnosti unutar Europe, odnosno kretanjem stanovnika prema državama članicama s višim životnim standardom, čime se pogoršavaju poteškoće povezane sa starenjem stanovništva s obzirom na to da uglavnom odlaze pripadnici mlađih dobnih skupina. Te su države suočene s odljevom radne snage svih stupnjeva kvalifikacija i, što je još važnije, s odljevom mozgova, što za njih predstavlja problem jer su uložile u sustave obrazovanja i obuke koji korist donose drugim zemljama koje mogu ponuditi bolje radne i socijalne uvjete. Prema podacima iz 2018. godine, iako je 36 % mobilnih radnika u EU-u imalo visoku, 40 % srednju, a 23 % nižu razinu obrazovanja, </w:t>
      </w:r>
      <w:r>
        <w:rPr>
          <w:szCs w:val="22"/>
        </w:rPr>
        <w:t>samo ih je 20 % bilo zaposleno kao visokokvalificirani radnici, 60 % kao srednjekvalificirani, a 20 % kao niskokvalificirani.</w:t>
      </w:r>
      <w:r w:rsidR="002426EC" w:rsidRPr="005211DB">
        <w:rPr>
          <w:rStyle w:val="FootnoteReference"/>
          <w:szCs w:val="22"/>
        </w:rPr>
        <w:footnoteReference w:id="2"/>
      </w:r>
    </w:p>
    <w:p w14:paraId="4631395F" w14:textId="77777777" w:rsidR="0074759E" w:rsidRPr="005211DB" w:rsidRDefault="0074759E" w:rsidP="0005438B">
      <w:pPr>
        <w:widowControl/>
        <w:ind w:left="567" w:hanging="567"/>
      </w:pPr>
    </w:p>
    <w:p w14:paraId="6972D40A" w14:textId="682A9F58" w:rsidR="005565AC" w:rsidRPr="005211DB" w:rsidRDefault="00EF7C7D" w:rsidP="0005438B">
      <w:pPr>
        <w:pStyle w:val="Heading2"/>
        <w:widowControl/>
        <w:ind w:left="567" w:hanging="567"/>
        <w:rPr>
          <w:sz w:val="22"/>
          <w:szCs w:val="22"/>
        </w:rPr>
      </w:pPr>
      <w:r>
        <w:rPr>
          <w:sz w:val="22"/>
          <w:szCs w:val="22"/>
        </w:rPr>
        <w:t>Također, kretanje radnika prema gospodarski jačim državama članicama ubrzava starenje i opadanje broja stanovnika u istočnim državama članicama. Nastavi li se to kretanje istim ritmom, u istočnoj Europi će broj stanovnika starijih od 65 godina biti viši nego u državama zapadne Europe</w:t>
      </w:r>
      <w:r w:rsidR="0074759E" w:rsidRPr="005211DB">
        <w:rPr>
          <w:rStyle w:val="FootnoteReference"/>
          <w:szCs w:val="24"/>
        </w:rPr>
        <w:footnoteReference w:id="3"/>
      </w:r>
      <w:r>
        <w:rPr>
          <w:sz w:val="22"/>
          <w:szCs w:val="22"/>
        </w:rPr>
        <w:t>.</w:t>
      </w:r>
    </w:p>
    <w:p w14:paraId="753D7E5D" w14:textId="77A56905" w:rsidR="00C071C7" w:rsidRDefault="00C071C7" w:rsidP="0005438B">
      <w:pPr>
        <w:widowControl/>
        <w:ind w:left="567" w:hanging="567"/>
        <w:rPr>
          <w:sz w:val="22"/>
          <w:szCs w:val="22"/>
        </w:rPr>
      </w:pPr>
    </w:p>
    <w:p w14:paraId="7001FFD9" w14:textId="60254137" w:rsidR="005565AC" w:rsidRPr="005211DB" w:rsidRDefault="005565AC" w:rsidP="0005438B">
      <w:pPr>
        <w:pStyle w:val="Heading2"/>
        <w:widowControl/>
        <w:ind w:left="567" w:hanging="567"/>
        <w:rPr>
          <w:sz w:val="22"/>
          <w:szCs w:val="22"/>
        </w:rPr>
      </w:pPr>
      <w:r>
        <w:rPr>
          <w:sz w:val="22"/>
          <w:szCs w:val="22"/>
        </w:rPr>
        <w:t>Kretanje radnika iz istočnoeuropskih zemalja u bogatije države članice uglavnom je posljedica razlika u plaćama, socijalnoj zaštiti i socijalnim standardima (koji su i dalje mnogo niži nego u starim državama članicama). Razlike u plaćama između istočne i zapadne Europe smanjivale su se sve dok nije nastupila kriza, a nakon krize se uzlazna konvergencija plaća u istočnoj Europi potpuno zaustavila</w:t>
      </w:r>
      <w:r w:rsidR="0074759E" w:rsidRPr="005211DB">
        <w:rPr>
          <w:rStyle w:val="FootnoteReference"/>
          <w:szCs w:val="22"/>
        </w:rPr>
        <w:footnoteReference w:id="4"/>
      </w:r>
      <w:r>
        <w:rPr>
          <w:sz w:val="22"/>
          <w:szCs w:val="22"/>
        </w:rPr>
        <w:t>. U nekim istočnim državama članicama visoka stopa emigracije dovela je do manjka radne snage.</w:t>
      </w:r>
    </w:p>
    <w:p w14:paraId="17C10A5E" w14:textId="77777777" w:rsidR="00C071C7" w:rsidRPr="005211DB" w:rsidRDefault="00C071C7" w:rsidP="0005438B">
      <w:pPr>
        <w:widowControl/>
        <w:ind w:left="567" w:hanging="567"/>
        <w:rPr>
          <w:sz w:val="22"/>
          <w:szCs w:val="22"/>
        </w:rPr>
      </w:pPr>
    </w:p>
    <w:p w14:paraId="63B7663A" w14:textId="480F1820" w:rsidR="005565AC" w:rsidRPr="005211DB" w:rsidRDefault="005E09C6" w:rsidP="0005438B">
      <w:pPr>
        <w:pStyle w:val="Heading2"/>
        <w:widowControl/>
        <w:ind w:left="567" w:hanging="567"/>
        <w:rPr>
          <w:sz w:val="22"/>
          <w:szCs w:val="22"/>
        </w:rPr>
      </w:pPr>
      <w:r>
        <w:rPr>
          <w:sz w:val="22"/>
          <w:szCs w:val="22"/>
        </w:rPr>
        <w:t>Istovremeno je zbog gospodarske krize i njezinih posljedica došlo do povećanja migracije iz južnoeuropskih u zapadnoeuropske zemlje</w:t>
      </w:r>
      <w:r w:rsidRPr="005211DB">
        <w:rPr>
          <w:rStyle w:val="FootnoteReference"/>
          <w:szCs w:val="22"/>
        </w:rPr>
        <w:footnoteReference w:id="5"/>
      </w:r>
      <w:r>
        <w:rPr>
          <w:szCs w:val="22"/>
        </w:rPr>
        <w:t>.</w:t>
      </w:r>
      <w:r>
        <w:rPr>
          <w:sz w:val="22"/>
          <w:szCs w:val="22"/>
        </w:rPr>
        <w:t xml:space="preserve"> Loši izgledi na tržištu rada, među kojima i visoka nezaposlenost, doveli su do veće migracije svih radnika, bez obzira na njihove kvalifikacije, iz južne u zapadnu Europu.</w:t>
      </w:r>
      <w:r>
        <w:rPr>
          <w:color w:val="000000"/>
          <w:sz w:val="22"/>
          <w:szCs w:val="22"/>
          <w:u w:val="single"/>
        </w:rPr>
        <w:t xml:space="preserve"> </w:t>
      </w:r>
    </w:p>
    <w:p w14:paraId="3829445A" w14:textId="77777777" w:rsidR="00D65CA9" w:rsidRPr="005211DB" w:rsidRDefault="00D65CA9" w:rsidP="0005438B">
      <w:pPr>
        <w:widowControl/>
        <w:ind w:left="567" w:hanging="567"/>
        <w:rPr>
          <w:sz w:val="22"/>
          <w:szCs w:val="22"/>
        </w:rPr>
      </w:pPr>
    </w:p>
    <w:p w14:paraId="3C23F9C1" w14:textId="5A4C54DE" w:rsidR="00D327EB" w:rsidRPr="005211DB" w:rsidRDefault="005F2AF5" w:rsidP="0005438B">
      <w:pPr>
        <w:pStyle w:val="Heading2"/>
        <w:widowControl/>
        <w:ind w:left="567" w:hanging="567"/>
      </w:pPr>
      <w:r>
        <w:rPr>
          <w:sz w:val="22"/>
          <w:szCs w:val="22"/>
        </w:rPr>
        <w:t xml:space="preserve"> Migracijama doprinose i čimbenici koji nisu striktno gospodarske prirode, npr. pravni, kulturni i socijalni uvjeti. Primjerice, neki ljudi svoju zemlju napuštaju da bi otišli u razvijenije države blagostanja koje pružaju bolju socijalnu i zdravstvenu zaštitu. Neki ljudi trpe diskriminaciju na temelju vjere, etničkog podrijetla ili seksualne orijentacije zbog čega odlaze u države članice u kojima ih društvo i pravni sustav otvorenije prihvaćaju i štite. Općenito govoreći, teško je izmjeriti razmjere tih vrsta mobilnosti i njihov utjecaj na demografsku situaciju.</w:t>
      </w:r>
    </w:p>
    <w:p w14:paraId="4B3146DE" w14:textId="77777777" w:rsidR="00C071C7" w:rsidRPr="005211DB" w:rsidRDefault="00C071C7" w:rsidP="0005438B">
      <w:pPr>
        <w:widowControl/>
        <w:ind w:left="567" w:hanging="567"/>
        <w:rPr>
          <w:sz w:val="22"/>
          <w:szCs w:val="22"/>
        </w:rPr>
      </w:pPr>
    </w:p>
    <w:p w14:paraId="3C787FC0" w14:textId="77777777" w:rsidR="005565AC" w:rsidRPr="005211DB" w:rsidRDefault="005565AC" w:rsidP="0005438B">
      <w:pPr>
        <w:pStyle w:val="Heading1"/>
        <w:keepNext/>
        <w:widowControl/>
        <w:ind w:left="567" w:hanging="567"/>
        <w:rPr>
          <w:sz w:val="22"/>
          <w:szCs w:val="22"/>
        </w:rPr>
      </w:pPr>
      <w:r>
        <w:rPr>
          <w:b/>
          <w:sz w:val="22"/>
          <w:szCs w:val="22"/>
        </w:rPr>
        <w:t>Opće napomene</w:t>
      </w:r>
    </w:p>
    <w:p w14:paraId="75C9BF10" w14:textId="77777777" w:rsidR="00C071C7" w:rsidRPr="005211DB" w:rsidRDefault="00C071C7" w:rsidP="0005438B">
      <w:pPr>
        <w:keepNext/>
        <w:widowControl/>
        <w:ind w:left="567" w:hanging="567"/>
        <w:rPr>
          <w:sz w:val="22"/>
          <w:szCs w:val="22"/>
        </w:rPr>
      </w:pPr>
    </w:p>
    <w:p w14:paraId="57B3D29B" w14:textId="65FBDBA1" w:rsidR="00D327EB" w:rsidRPr="005211DB" w:rsidRDefault="00D327EB" w:rsidP="0005438B">
      <w:pPr>
        <w:pStyle w:val="Heading2"/>
        <w:widowControl/>
        <w:ind w:left="567" w:hanging="567"/>
        <w:rPr>
          <w:sz w:val="22"/>
          <w:szCs w:val="22"/>
        </w:rPr>
      </w:pPr>
      <w:r>
        <w:rPr>
          <w:sz w:val="22"/>
          <w:szCs w:val="22"/>
        </w:rPr>
        <w:t>EGSO poziva na holistički pristup rješavanju demografskih problema. To znači da se ne bi rješavao samo problem stope plodnosti, već i pitanja povezana s ravnotežom između privatnog i poslovnog života, zapošljavanjem, ravnopravnošću između muškaraca i žena, stabilnim obiteljskim politikama, regionalnim i kohezijskim politikama te kvalitetom javne infrastrukture i usluga.</w:t>
      </w:r>
    </w:p>
    <w:p w14:paraId="28A35FA6" w14:textId="77777777" w:rsidR="00D327EB" w:rsidRPr="005211DB" w:rsidRDefault="00D327EB" w:rsidP="0005438B">
      <w:pPr>
        <w:widowControl/>
        <w:ind w:left="567" w:hanging="567"/>
      </w:pPr>
    </w:p>
    <w:p w14:paraId="1E9926E4" w14:textId="0A25983E" w:rsidR="005565AC" w:rsidRPr="005211DB" w:rsidRDefault="005565AC" w:rsidP="0005438B">
      <w:pPr>
        <w:pStyle w:val="Heading2"/>
        <w:widowControl/>
        <w:ind w:left="567" w:hanging="567"/>
        <w:rPr>
          <w:sz w:val="22"/>
          <w:szCs w:val="22"/>
        </w:rPr>
      </w:pPr>
      <w:r>
        <w:rPr>
          <w:sz w:val="22"/>
          <w:szCs w:val="22"/>
        </w:rPr>
        <w:t xml:space="preserve">Kad se raspravlja o demografiji, raspravlja se i o djeci, majkama i očevima, a ne samo o brojkama i statističkim podacima. Ti ljudi imaju svoje životne planove, bez obzira na vrstu obitelji. Europsko društvo mora pružiti potporu i zaštitu najranjivijima, u ovom slučaju djeci, čija prava i interesi moraju biti prioritet. </w:t>
      </w:r>
    </w:p>
    <w:p w14:paraId="7475CC85" w14:textId="77777777" w:rsidR="00C071C7" w:rsidRPr="005211DB" w:rsidRDefault="00C071C7" w:rsidP="0005438B">
      <w:pPr>
        <w:widowControl/>
        <w:ind w:left="567" w:hanging="567"/>
        <w:rPr>
          <w:sz w:val="22"/>
          <w:szCs w:val="22"/>
        </w:rPr>
      </w:pPr>
    </w:p>
    <w:p w14:paraId="66340665" w14:textId="447ADE4D" w:rsidR="005565AC" w:rsidRPr="005211DB" w:rsidRDefault="007A6EF6" w:rsidP="0005438B">
      <w:pPr>
        <w:pStyle w:val="Heading2"/>
        <w:widowControl/>
        <w:ind w:left="567" w:hanging="567"/>
        <w:rPr>
          <w:sz w:val="22"/>
          <w:szCs w:val="22"/>
        </w:rPr>
      </w:pPr>
      <w:r>
        <w:rPr>
          <w:sz w:val="22"/>
          <w:szCs w:val="22"/>
        </w:rPr>
        <w:t>EGSO je usvojio niz mišljenja o demografiji. U nekima od njih ističe da su države koje imaju kvalitetne obiteljske politike, čije su odredbe raznolike i odražavaju kulturu dotične države članice, u boljoj demografskoj situaciji od onih koje obiteljsku politiku nemaju ili im nije kvalitetna.</w:t>
      </w:r>
      <w:r w:rsidRPr="005211DB">
        <w:rPr>
          <w:rStyle w:val="FootnoteReference"/>
          <w:szCs w:val="22"/>
        </w:rPr>
        <w:footnoteReference w:id="6"/>
      </w:r>
      <w:r>
        <w:rPr>
          <w:sz w:val="22"/>
          <w:szCs w:val="22"/>
        </w:rPr>
        <w:t xml:space="preserve"> U drugima naglašava važnost kvalitetnih politika tržišta rada temeljenih na visokom stupnju sudjelovanja na tržištu rada i visokokvalitetnom zapošljavanju kao učinkovitim načinima rješavanja demografskih izazova.</w:t>
      </w:r>
      <w:r w:rsidR="000C7625" w:rsidRPr="005211DB">
        <w:rPr>
          <w:rStyle w:val="FootnoteReference"/>
          <w:szCs w:val="22"/>
        </w:rPr>
        <w:footnoteReference w:id="7"/>
      </w:r>
    </w:p>
    <w:p w14:paraId="74E64919" w14:textId="77777777" w:rsidR="00890BC6" w:rsidRPr="005211DB" w:rsidRDefault="00890BC6" w:rsidP="0005438B">
      <w:pPr>
        <w:widowControl/>
        <w:ind w:left="567" w:hanging="567"/>
        <w:rPr>
          <w:sz w:val="22"/>
          <w:szCs w:val="22"/>
        </w:rPr>
      </w:pPr>
    </w:p>
    <w:p w14:paraId="418F4050" w14:textId="3B94C8FF" w:rsidR="005565AC" w:rsidRPr="005211DB" w:rsidRDefault="000C7625" w:rsidP="0005438B">
      <w:pPr>
        <w:pStyle w:val="Heading2"/>
        <w:widowControl/>
        <w:ind w:left="567" w:hanging="567"/>
        <w:rPr>
          <w:sz w:val="22"/>
          <w:szCs w:val="22"/>
        </w:rPr>
      </w:pPr>
      <w:r>
        <w:rPr>
          <w:sz w:val="22"/>
          <w:szCs w:val="22"/>
        </w:rPr>
        <w:t>EGSO smatra da već postoje politike koje bi se mogle iskoristiti za rješavanje demografskih izazova, posebno u svjetlu gospodarskih i razvojnih nejednakosti. Europski stup socijalnih prava važan je instrument za postizanje uzlazne socijalne i gospodarske konvergencije u EU-u, koja će pomoći i u rješavanju demografskih izazova.</w:t>
      </w:r>
    </w:p>
    <w:p w14:paraId="2FA31D32" w14:textId="77777777" w:rsidR="00890BC6" w:rsidRPr="005211DB" w:rsidRDefault="00890BC6" w:rsidP="0005438B">
      <w:pPr>
        <w:widowControl/>
        <w:ind w:left="567" w:hanging="567"/>
        <w:rPr>
          <w:sz w:val="22"/>
          <w:szCs w:val="22"/>
        </w:rPr>
      </w:pPr>
    </w:p>
    <w:p w14:paraId="1FA3E2BB" w14:textId="42C3F642" w:rsidR="000C7625" w:rsidRPr="005211DB" w:rsidRDefault="000C7625" w:rsidP="00B03CF4">
      <w:pPr>
        <w:pStyle w:val="Heading2"/>
        <w:keepNext/>
        <w:keepLines/>
        <w:widowControl/>
        <w:ind w:left="567" w:hanging="567"/>
        <w:rPr>
          <w:sz w:val="21"/>
          <w:szCs w:val="21"/>
        </w:rPr>
      </w:pPr>
      <w:r>
        <w:rPr>
          <w:sz w:val="22"/>
          <w:szCs w:val="22"/>
        </w:rPr>
        <w:lastRenderedPageBreak/>
        <w:t>EGSO smatra da je okruženje koje ljudima pruža gospodarsku i socijalnu stabilnost i dostojan životni i radni standard i u kojem socijalni partneri imaju važnu ulogu, ključno za osiguravanje pozitivnih demografskih trendova u EU-u.</w:t>
      </w:r>
      <w:r>
        <w:t xml:space="preserve"> </w:t>
      </w:r>
      <w:r>
        <w:rPr>
          <w:sz w:val="21"/>
          <w:szCs w:val="21"/>
        </w:rPr>
        <w:t>To uključuje veća ulaganja u socijalnu infrastrukturu, obiteljske politike, visokokvalitetne javne usluge i aktivne politike tržišta rada.</w:t>
      </w:r>
    </w:p>
    <w:p w14:paraId="6D3DD20F" w14:textId="77777777" w:rsidR="000C7625" w:rsidRPr="005211DB" w:rsidRDefault="000C7625" w:rsidP="0005438B">
      <w:pPr>
        <w:widowControl/>
        <w:ind w:left="567" w:hanging="567"/>
      </w:pPr>
    </w:p>
    <w:p w14:paraId="77B07724" w14:textId="271D6E1B" w:rsidR="005565AC" w:rsidRPr="005211DB" w:rsidRDefault="000C7625" w:rsidP="0005438B">
      <w:pPr>
        <w:pStyle w:val="Heading2"/>
        <w:widowControl/>
        <w:ind w:left="567" w:hanging="567"/>
        <w:rPr>
          <w:sz w:val="22"/>
          <w:szCs w:val="22"/>
        </w:rPr>
      </w:pPr>
      <w:r>
        <w:rPr>
          <w:sz w:val="22"/>
          <w:szCs w:val="22"/>
        </w:rPr>
        <w:t xml:space="preserve">Analiza demografski učinkovitih politika pokazala je da one kombiniraju različite mjere koje tijekom vremena ostaju stabilne. To je važno jer su roditeljstvo i obitelj po definiciji dugoročni. Kad je riječ o obiteljskim politikama, posebnu pozornost treba posvetiti obiteljima kojima prijeti siromaštvo, kao što su obitelji sa samohranim roditeljem i velike obitelji. Važno je upamtiti da je, nakon nezaposlenosti, raspad obitelji najčešći uzrok siromaštva i da opasnost od siromaštva raste s brojem uzdržavane djece u domaćinstvu. </w:t>
      </w:r>
      <w:r>
        <w:rPr>
          <w:szCs w:val="22"/>
        </w:rPr>
        <w:t>EGSO je pozvao na to da se u EU-u osigura pristojan minimalni dohodak.</w:t>
      </w:r>
      <w:r w:rsidR="00CD0A2F" w:rsidRPr="005211DB">
        <w:rPr>
          <w:rStyle w:val="FootnoteReference"/>
          <w:szCs w:val="22"/>
        </w:rPr>
        <w:footnoteReference w:id="8"/>
      </w:r>
    </w:p>
    <w:p w14:paraId="3230E1A7" w14:textId="77777777" w:rsidR="00B278F8" w:rsidRPr="005211DB" w:rsidRDefault="00B278F8" w:rsidP="0005438B">
      <w:pPr>
        <w:pStyle w:val="Heading2"/>
        <w:widowControl/>
        <w:numPr>
          <w:ilvl w:val="0"/>
          <w:numId w:val="0"/>
        </w:numPr>
        <w:ind w:left="567" w:hanging="567"/>
        <w:rPr>
          <w:sz w:val="22"/>
          <w:szCs w:val="22"/>
        </w:rPr>
      </w:pPr>
    </w:p>
    <w:p w14:paraId="184D7ECA" w14:textId="34E64AFF" w:rsidR="00D056C3" w:rsidRPr="005211DB" w:rsidRDefault="005565AC" w:rsidP="0005438B">
      <w:pPr>
        <w:pStyle w:val="Heading2"/>
        <w:widowControl/>
        <w:ind w:left="567" w:hanging="567"/>
        <w:rPr>
          <w:sz w:val="22"/>
          <w:szCs w:val="22"/>
        </w:rPr>
      </w:pPr>
      <w:r>
        <w:rPr>
          <w:sz w:val="22"/>
          <w:szCs w:val="22"/>
        </w:rPr>
        <w:t>EGSO naglašava da u provedbi socijalnih politika i pružanju podrške obiteljima ključnu ulogu imaju javne usluge. Visokokvalitetna, dostupna i cjenovno pristupačna skrb i pomoć (za djecu, osobe s invaliditetom i starije osobe) ključna je za rješavanje demografskih izazova i podupiranje rasta stanovništva. Nedovoljno ulaganje u javne usluge dovodi do smanjenja broja osoblja i manjka odgovarajuće infrastrukture. Posebnu pozornost trebalo bi posvetiti uslugama čuvanja djece i obrazovanju te politikama usmjerenima na starije generacije. Nedovoljno ulaganje najočiglednije je na području dugoročne zdravstvene skrbi</w:t>
      </w:r>
      <w:r>
        <w:t xml:space="preserve"> za starije</w:t>
      </w:r>
      <w:r w:rsidR="00B278F8" w:rsidRPr="005211DB">
        <w:rPr>
          <w:rStyle w:val="FootnoteReference"/>
          <w:szCs w:val="24"/>
        </w:rPr>
        <w:footnoteReference w:id="9"/>
      </w:r>
      <w:r>
        <w:rPr>
          <w:sz w:val="22"/>
          <w:szCs w:val="22"/>
        </w:rPr>
        <w:t>.</w:t>
      </w:r>
    </w:p>
    <w:p w14:paraId="6FAF1A8B" w14:textId="77777777" w:rsidR="00EE4058" w:rsidRPr="005211DB" w:rsidRDefault="00EE4058" w:rsidP="0005438B">
      <w:pPr>
        <w:widowControl/>
        <w:ind w:left="567" w:hanging="567"/>
      </w:pPr>
    </w:p>
    <w:p w14:paraId="29469AC6" w14:textId="2B8577FA" w:rsidR="005565AC" w:rsidRPr="005211DB" w:rsidRDefault="005565AC" w:rsidP="0005438B">
      <w:pPr>
        <w:pStyle w:val="Heading2"/>
        <w:widowControl/>
        <w:ind w:left="567" w:hanging="567"/>
        <w:rPr>
          <w:sz w:val="22"/>
          <w:szCs w:val="22"/>
        </w:rPr>
      </w:pPr>
      <w:r>
        <w:rPr>
          <w:sz w:val="22"/>
          <w:szCs w:val="22"/>
        </w:rPr>
        <w:t>EGSO poziva na veća ulaganja u javne službe i socijalne politike kako bi se odgovorilo na demografske izazove. EGSO ponovno ističe svoje stajalište da se veća javna ulaganja u državama članicama mogu olakšati pozivanjem na „zlatno pravilo” za ulaganja u socijalne svrhe kako bi se omogućila veća fleksibilnost u pogledu proračunskih pravila. Postojeći i budući fondovi EU-a, a posebno Plan ulaganja za Europu, trebali bi se više usmjeriti na socijalna ulaganja, potporu obitelji i promicanje jednakosti te povećati sredstva koja se na njih troše jer će tako doprinijeti rješavanju demografskih problema.</w:t>
      </w:r>
    </w:p>
    <w:p w14:paraId="31E585C7" w14:textId="77777777" w:rsidR="00EE4058" w:rsidRPr="005211DB" w:rsidRDefault="00EE4058" w:rsidP="0005438B">
      <w:pPr>
        <w:widowControl/>
        <w:ind w:left="567" w:hanging="567"/>
        <w:rPr>
          <w:sz w:val="22"/>
          <w:szCs w:val="22"/>
        </w:rPr>
      </w:pPr>
    </w:p>
    <w:p w14:paraId="35BB266A" w14:textId="64CA6B06" w:rsidR="005565AC" w:rsidRPr="005211DB" w:rsidRDefault="005565AC" w:rsidP="0005438B">
      <w:pPr>
        <w:pStyle w:val="Heading2"/>
        <w:widowControl/>
        <w:ind w:left="567" w:hanging="567"/>
        <w:rPr>
          <w:sz w:val="22"/>
          <w:szCs w:val="22"/>
        </w:rPr>
      </w:pPr>
      <w:r>
        <w:rPr>
          <w:sz w:val="22"/>
          <w:szCs w:val="22"/>
        </w:rPr>
        <w:t xml:space="preserve">EGSO naglašava količinu i važnost neplaćenog rada koji uglavnom obavljaju žene koje, iz obiteljske solidarnosti, snose veći dio troška skrbi i pomoći, podupiru obitelj i nadoknađuju nedostatak javne infrastrukture. </w:t>
      </w:r>
      <w:r>
        <w:t>Taj stvarni rad rijetko se priznaje, iako se neplaćena skrb i kućanski poslovi procjenjuju na 10 odnosno 39 % bruto domaćeg proizvoda u svijetu.</w:t>
      </w:r>
      <w:r w:rsidR="00B278F8" w:rsidRPr="005211DB">
        <w:rPr>
          <w:rStyle w:val="FootnoteReference"/>
          <w:szCs w:val="24"/>
        </w:rPr>
        <w:footnoteReference w:id="10"/>
      </w:r>
      <w:r>
        <w:rPr>
          <w:sz w:val="22"/>
          <w:szCs w:val="22"/>
        </w:rPr>
        <w:t xml:space="preserve"> Važno je, a i pravedno, priznati i podržati rad neplaćenih pružatelja skrbi, obično članova obitelji koji su odlučili da neće raditi kako bi skrbili o bolesnim članovima obitelji, članovima obitelji s invaliditetom ili drugim članovima obitelji koji o njima ovise. To se, među ostalim, može učiniti dovoljnim ulaganjem u infrastrukturu u području pružanja skrbi. Države članice trebalo bi poticati da priznaju ekonomsku, socijalnu i moralnu vrijednost rada pružatelja skrbi tako što će im osigurati ne samo odgovarajući status i financijsku potporu već i prava iz područja socijalne zaštite.</w:t>
      </w:r>
    </w:p>
    <w:p w14:paraId="252F7F1E" w14:textId="10A8FBBE" w:rsidR="00CD0A2F" w:rsidRPr="005211DB" w:rsidRDefault="00CD0A2F" w:rsidP="006763CD"/>
    <w:p w14:paraId="3DCE54F2" w14:textId="08E87C0D" w:rsidR="00CD0A2F" w:rsidRPr="005211DB" w:rsidRDefault="00CD0A2F">
      <w:pPr>
        <w:pStyle w:val="Heading2"/>
        <w:widowControl/>
        <w:ind w:left="567" w:hanging="567"/>
        <w:rPr>
          <w:sz w:val="22"/>
          <w:szCs w:val="22"/>
        </w:rPr>
      </w:pPr>
      <w:r>
        <w:rPr>
          <w:sz w:val="22"/>
          <w:szCs w:val="22"/>
        </w:rPr>
        <w:lastRenderedPageBreak/>
        <w:t>Posebnu pozornost trebalo bi posvetiti ruralnom stanovništvu koje stari brže od stanovništva u cjelini. U svim europskim ruralnim područjima vlada trend smanjenja broja stanovnika jer se mladi radi obrazovanja i iz poslovnih razloga sele u velike gradove. Jedna od ključnih mjera u borbi protiv depopulacije ruralnih područja i malih i srednjih gradova jest očuvanje životnog standarda, uključujući dobre izglede na tržištu rada te ulaganje u infrastrukturu, javne usluge i obrazovanje.</w:t>
      </w:r>
    </w:p>
    <w:p w14:paraId="68BD0FFD" w14:textId="77777777" w:rsidR="009B510D" w:rsidRPr="005211DB" w:rsidRDefault="009B510D" w:rsidP="0005438B">
      <w:pPr>
        <w:pStyle w:val="Heading2"/>
        <w:widowControl/>
        <w:numPr>
          <w:ilvl w:val="0"/>
          <w:numId w:val="0"/>
        </w:numPr>
        <w:ind w:left="567" w:hanging="567"/>
      </w:pPr>
    </w:p>
    <w:p w14:paraId="381B5339" w14:textId="7047B4C5" w:rsidR="005565AC" w:rsidRPr="005211DB" w:rsidRDefault="00A02F20" w:rsidP="0005438B">
      <w:pPr>
        <w:pStyle w:val="Heading2"/>
        <w:widowControl/>
        <w:ind w:left="567" w:hanging="567"/>
        <w:rPr>
          <w:sz w:val="22"/>
          <w:szCs w:val="22"/>
        </w:rPr>
      </w:pPr>
      <w:r>
        <w:rPr>
          <w:sz w:val="22"/>
          <w:szCs w:val="22"/>
        </w:rPr>
        <w:t>EGSO naglašava važnu ulogu koju u raspravama o politikama o demografskim izazovima i njihovom razvoju imaju organizacije civilnog društva i socijalni partneri.</w:t>
      </w:r>
    </w:p>
    <w:p w14:paraId="0B548448" w14:textId="77777777" w:rsidR="009B510D" w:rsidRPr="005211DB" w:rsidRDefault="009B510D" w:rsidP="0005438B">
      <w:pPr>
        <w:widowControl/>
        <w:ind w:left="567" w:hanging="567"/>
        <w:rPr>
          <w:sz w:val="22"/>
          <w:szCs w:val="22"/>
        </w:rPr>
      </w:pPr>
    </w:p>
    <w:p w14:paraId="44637813" w14:textId="5BACE57F" w:rsidR="005565AC" w:rsidRPr="005211DB" w:rsidRDefault="005565AC" w:rsidP="0005438B">
      <w:pPr>
        <w:pStyle w:val="Heading1"/>
        <w:keepNext/>
        <w:widowControl/>
        <w:ind w:left="567" w:hanging="567"/>
        <w:rPr>
          <w:b/>
          <w:sz w:val="22"/>
          <w:szCs w:val="22"/>
        </w:rPr>
      </w:pPr>
      <w:r>
        <w:rPr>
          <w:b/>
        </w:rPr>
        <w:t>Važnost kvalitetnih radnih mjesta, proaktivnih politika tržišta rada i politika kojima se podržava ravnoteža između poslovnog i privatnog i obiteljskog života.</w:t>
      </w:r>
      <w:r>
        <w:rPr>
          <w:b/>
          <w:sz w:val="22"/>
          <w:szCs w:val="22"/>
        </w:rPr>
        <w:t xml:space="preserve"> </w:t>
      </w:r>
    </w:p>
    <w:p w14:paraId="501CFE90" w14:textId="77777777" w:rsidR="00EE4058" w:rsidRPr="005211DB" w:rsidRDefault="00EE4058" w:rsidP="0005438B">
      <w:pPr>
        <w:keepNext/>
        <w:widowControl/>
        <w:ind w:left="567" w:hanging="567"/>
        <w:rPr>
          <w:sz w:val="22"/>
          <w:szCs w:val="22"/>
        </w:rPr>
      </w:pPr>
    </w:p>
    <w:p w14:paraId="7052F1AA" w14:textId="74F7F8F2" w:rsidR="005565AC" w:rsidRPr="005211DB" w:rsidRDefault="005565AC" w:rsidP="0005438B">
      <w:pPr>
        <w:pStyle w:val="Heading2"/>
        <w:widowControl/>
        <w:ind w:left="567" w:hanging="567"/>
        <w:rPr>
          <w:sz w:val="22"/>
          <w:szCs w:val="22"/>
        </w:rPr>
      </w:pPr>
      <w:r>
        <w:rPr>
          <w:sz w:val="22"/>
          <w:szCs w:val="22"/>
        </w:rPr>
        <w:t>EGSO smatra da su proaktivne politike tržišta rada koje doprinose stvaranju stabilnih radnih mjesta i dobrobiti radnika učinkovite i važne za rješavanje demografskih izazova. Dohodak europskog stanovništva pretežno potječe od rada, što znači da je bez otvaranja radnih mjesta, bez dinamičnih izgleda i sigurnosti na tržištu rada te kvalitetnih radnih mjesta teško osnovati obitelj i osigurati joj pristojne životne uvjete. Kolektivnim pregovaranjem socijalni partneri mogu znatno doprinijeti poboljšanju plaća i radnih uvjeta.</w:t>
      </w:r>
    </w:p>
    <w:p w14:paraId="390DF534" w14:textId="77777777" w:rsidR="00212FBD" w:rsidRPr="005211DB" w:rsidRDefault="00212FBD" w:rsidP="0005438B">
      <w:pPr>
        <w:widowControl/>
        <w:ind w:left="567" w:hanging="567"/>
        <w:rPr>
          <w:sz w:val="22"/>
          <w:szCs w:val="22"/>
        </w:rPr>
      </w:pPr>
    </w:p>
    <w:p w14:paraId="67849BD6" w14:textId="05C0AA10" w:rsidR="005565AC" w:rsidRPr="005211DB" w:rsidRDefault="005565AC" w:rsidP="0005438B">
      <w:pPr>
        <w:pStyle w:val="Heading2"/>
        <w:widowControl/>
        <w:ind w:left="567" w:hanging="567"/>
        <w:rPr>
          <w:sz w:val="22"/>
          <w:szCs w:val="22"/>
        </w:rPr>
      </w:pPr>
      <w:r>
        <w:rPr>
          <w:sz w:val="22"/>
          <w:szCs w:val="22"/>
        </w:rPr>
        <w:t xml:space="preserve">EGSO prima na znanje izvješće </w:t>
      </w:r>
      <w:r>
        <w:rPr>
          <w:i/>
          <w:iCs/>
          <w:sz w:val="22"/>
          <w:szCs w:val="22"/>
        </w:rPr>
        <w:t>Demographic scenarios for the EU</w:t>
      </w:r>
      <w:r>
        <w:rPr>
          <w:sz w:val="22"/>
          <w:szCs w:val="22"/>
        </w:rPr>
        <w:t xml:space="preserve"> („Demografski scenariji za EU“)</w:t>
      </w:r>
      <w:r w:rsidR="009B510D" w:rsidRPr="005211DB">
        <w:rPr>
          <w:rStyle w:val="FootnoteReference"/>
          <w:szCs w:val="24"/>
        </w:rPr>
        <w:footnoteReference w:id="11"/>
      </w:r>
      <w:r>
        <w:rPr>
          <w:sz w:val="22"/>
          <w:szCs w:val="22"/>
        </w:rPr>
        <w:t>, u kojem se navodi da najizvediviji i najučinkovitiji odgovor na negativne posljedice starenja stanovništva nisu ni više stope plodnosti ni veće migracije, već veće sudjelovanje u radnoj snazi. U srednjoročnoj i dugoročnoj perspektivi moramo uravnotežiti demografiju kako bismo osigurali ravnotežu naših socijalnih rashoda i dinamiku našeg gospodarstva.</w:t>
      </w:r>
    </w:p>
    <w:p w14:paraId="69F55B08" w14:textId="77777777" w:rsidR="00EE4058" w:rsidRPr="005211DB" w:rsidRDefault="00EE4058" w:rsidP="0005438B">
      <w:pPr>
        <w:widowControl/>
        <w:ind w:left="567" w:hanging="567"/>
        <w:rPr>
          <w:sz w:val="22"/>
          <w:szCs w:val="22"/>
        </w:rPr>
      </w:pPr>
    </w:p>
    <w:p w14:paraId="7C8C2221" w14:textId="0759151E" w:rsidR="005565AC" w:rsidRPr="005211DB" w:rsidRDefault="005565AC" w:rsidP="0005438B">
      <w:pPr>
        <w:pStyle w:val="Heading2"/>
        <w:widowControl/>
        <w:ind w:left="567" w:hanging="567"/>
        <w:rPr>
          <w:sz w:val="22"/>
          <w:szCs w:val="22"/>
        </w:rPr>
      </w:pPr>
      <w:r>
        <w:rPr>
          <w:sz w:val="22"/>
          <w:szCs w:val="22"/>
        </w:rPr>
        <w:t xml:space="preserve">Mjere za borbu protiv siromaštva zaposlenih od najveće su važnosti jer obiteljima osiguravaju pristojne životne uvjete, a djeci i roditeljima dostojan život. </w:t>
      </w:r>
      <w:r>
        <w:rPr>
          <w:szCs w:val="22"/>
        </w:rPr>
        <w:t>EGSO pozdravlja namjeru predsjednice Komisije da „zajamči da svaki radnik u našoj Uniji ima pravednu minimalnu plaću.</w:t>
      </w:r>
      <w:r w:rsidR="006E7E66" w:rsidRPr="005211DB">
        <w:rPr>
          <w:rStyle w:val="FootnoteReference"/>
          <w:szCs w:val="22"/>
        </w:rPr>
        <w:footnoteReference w:id="12"/>
      </w:r>
      <w:r>
        <w:rPr>
          <w:sz w:val="22"/>
          <w:szCs w:val="22"/>
        </w:rPr>
        <w:t xml:space="preserve"> Imajući to na umu, EGSO će pripremiti razmatračko mišljenje „Dostojne minimalne plaće u cijeloj Europi”.</w:t>
      </w:r>
    </w:p>
    <w:p w14:paraId="51F64CD4" w14:textId="77777777" w:rsidR="00EE4058" w:rsidRPr="005211DB" w:rsidRDefault="00EE4058" w:rsidP="0005438B">
      <w:pPr>
        <w:widowControl/>
        <w:ind w:left="567" w:hanging="567"/>
        <w:rPr>
          <w:sz w:val="22"/>
          <w:szCs w:val="22"/>
        </w:rPr>
      </w:pPr>
    </w:p>
    <w:p w14:paraId="343ECCA9" w14:textId="07A9ECDB" w:rsidR="00141572" w:rsidRPr="005211DB" w:rsidRDefault="006E7E66" w:rsidP="0005438B">
      <w:pPr>
        <w:pStyle w:val="Heading2"/>
        <w:widowControl/>
        <w:ind w:left="567" w:hanging="567"/>
        <w:rPr>
          <w:sz w:val="22"/>
          <w:szCs w:val="22"/>
        </w:rPr>
      </w:pPr>
      <w:r>
        <w:rPr>
          <w:sz w:val="22"/>
          <w:szCs w:val="22"/>
        </w:rPr>
        <w:t>Kvalitetni poslovi kao čimbenici gospodarske stabilnosti, dostupno osposobljavanje radi poboljšanja vještina i kompetencija radnika te mogućnost istovremeno sigurnih i fleksibilnih radnih uvjeta jedan su od načina podupiranja demografskog rasta. Posebnu pozornost trebalo bi posvetiti radu na nepuno radno vrijeme ili fleksibilnim načinima rada kako bi se poboljšala ravnoteža između privatnog, poslovnog i obiteljskog života. Jedna od mjera koja omogućuje bolju ravnotežu između poslovnog i privatnog života i štiti obiteljski i privatni život u doba ubrzane digitalizacije jest pravo na isključenje, što EGSO smatra dobrom praksom</w:t>
      </w:r>
      <w:r w:rsidRPr="005211DB">
        <w:rPr>
          <w:rStyle w:val="FootnoteReference"/>
          <w:szCs w:val="22"/>
        </w:rPr>
        <w:footnoteReference w:id="13"/>
      </w:r>
      <w:r>
        <w:rPr>
          <w:sz w:val="22"/>
          <w:szCs w:val="22"/>
        </w:rPr>
        <w:t>.</w:t>
      </w:r>
    </w:p>
    <w:p w14:paraId="683E3779" w14:textId="77777777" w:rsidR="005A21AB" w:rsidRPr="005211DB" w:rsidRDefault="005A21AB" w:rsidP="0005438B">
      <w:pPr>
        <w:widowControl/>
        <w:ind w:left="567" w:hanging="567"/>
        <w:rPr>
          <w:sz w:val="22"/>
          <w:szCs w:val="22"/>
        </w:rPr>
      </w:pPr>
    </w:p>
    <w:p w14:paraId="35E3131F" w14:textId="2C84BBE7" w:rsidR="005565AC" w:rsidRPr="005211DB" w:rsidRDefault="005565AC" w:rsidP="0005438B">
      <w:pPr>
        <w:pStyle w:val="Heading2"/>
        <w:widowControl/>
        <w:ind w:left="567" w:hanging="567"/>
        <w:rPr>
          <w:sz w:val="22"/>
          <w:szCs w:val="22"/>
        </w:rPr>
      </w:pPr>
      <w:r>
        <w:rPr>
          <w:sz w:val="22"/>
          <w:szCs w:val="22"/>
        </w:rPr>
        <w:lastRenderedPageBreak/>
        <w:t>U prethodnim mišljenjima</w:t>
      </w:r>
      <w:r w:rsidR="00141572" w:rsidRPr="005211DB">
        <w:rPr>
          <w:rStyle w:val="FootnoteReference"/>
          <w:szCs w:val="24"/>
        </w:rPr>
        <w:footnoteReference w:id="14"/>
      </w:r>
      <w:r>
        <w:rPr>
          <w:sz w:val="22"/>
          <w:szCs w:val="22"/>
        </w:rPr>
        <w:t xml:space="preserve"> EGSO je pozvao na donošenje proaktivnih politika rodne ravnopravnosti kako bi se uklonila razlika u plaćama između muškaraca i žena te promicale mjere kojima se olakšava postizanje ravnoteže između poslovnog i privatnog života. Studije pokazuju da sudjelovanje muškaraca u poslovima povezanima sa skrbi koristi ne samo obiteljima već i europskom gospodarstvu i konkurentnosti. Većim sudjelovanjem žena na tržištu rada omogućio bi se razvoj njihova potencijala u vrijeme kad se radna snaga u EU-u smanjuje, a njegovo stanovništvo stari.</w:t>
      </w:r>
    </w:p>
    <w:p w14:paraId="5357EC5E" w14:textId="77777777" w:rsidR="00EE4058" w:rsidRPr="005211DB" w:rsidRDefault="00EE4058" w:rsidP="0005438B">
      <w:pPr>
        <w:widowControl/>
        <w:ind w:left="567" w:hanging="567"/>
        <w:rPr>
          <w:sz w:val="22"/>
          <w:szCs w:val="22"/>
        </w:rPr>
      </w:pPr>
    </w:p>
    <w:p w14:paraId="276949B8" w14:textId="5818141F" w:rsidR="005565AC" w:rsidRPr="005211DB" w:rsidRDefault="005565AC" w:rsidP="0005438B">
      <w:pPr>
        <w:pStyle w:val="Heading2"/>
        <w:widowControl/>
        <w:ind w:left="567" w:hanging="567"/>
        <w:rPr>
          <w:sz w:val="22"/>
          <w:szCs w:val="22"/>
        </w:rPr>
      </w:pPr>
      <w:r>
        <w:rPr>
          <w:sz w:val="22"/>
          <w:szCs w:val="22"/>
        </w:rPr>
        <w:t>Posebnu pozornost trebalo bi posvetiti mladim radnicima koji su roditelji ili bi to mogli postati. Prosječna stopa nezaposlenosti mladih u EU-u i dalje je viša od stope nezaposlenosti radno sposobnog stanovništva općenito, a u nekim državama kreće se od 5 do 40 %.</w:t>
      </w:r>
      <w:r w:rsidR="00FE1BD3" w:rsidRPr="005211DB">
        <w:rPr>
          <w:rStyle w:val="FootnoteReference"/>
          <w:szCs w:val="24"/>
        </w:rPr>
        <w:footnoteReference w:id="15"/>
      </w:r>
      <w:r>
        <w:rPr>
          <w:sz w:val="22"/>
          <w:szCs w:val="22"/>
        </w:rPr>
        <w:t xml:space="preserve"> Nesigurni radni uvjeti posebno pogađaju i mlade,</w:t>
      </w:r>
      <w:r w:rsidR="00FE1BD3" w:rsidRPr="005211DB">
        <w:rPr>
          <w:rStyle w:val="FootnoteReference"/>
          <w:szCs w:val="24"/>
        </w:rPr>
        <w:footnoteReference w:id="16"/>
      </w:r>
      <w:r>
        <w:rPr>
          <w:sz w:val="22"/>
          <w:szCs w:val="22"/>
        </w:rPr>
        <w:t xml:space="preserve"> koji zbog neotvaranja novih radnih mjesta, zbog nedostatka dinamičnih izgleda i sigurnosti na tržištu rada te zbog poteškoća pri unajmljivanju ili kupovini stambenih objekata teško mogu planirati budućnost, osamostaliti se, skrasiti se i osnovati obitelj. Mladim ljudima trebalo bi omogućiti pristup kvalitetnim radnim mjestima. Time bi im se pružila sigurnost potrebna za osnivanje obitelji.</w:t>
      </w:r>
    </w:p>
    <w:p w14:paraId="0D3DDA3C" w14:textId="77777777" w:rsidR="00735131" w:rsidRPr="005211DB" w:rsidRDefault="00735131" w:rsidP="0005438B">
      <w:pPr>
        <w:widowControl/>
        <w:ind w:left="567" w:hanging="567"/>
        <w:rPr>
          <w:sz w:val="22"/>
          <w:szCs w:val="22"/>
        </w:rPr>
      </w:pPr>
    </w:p>
    <w:p w14:paraId="18E9E0BA" w14:textId="40293C44" w:rsidR="00735131" w:rsidRPr="005211DB" w:rsidRDefault="00B67CFA" w:rsidP="0005438B">
      <w:pPr>
        <w:pStyle w:val="Heading2"/>
        <w:widowControl/>
        <w:ind w:left="567" w:hanging="567"/>
        <w:rPr>
          <w:sz w:val="22"/>
          <w:szCs w:val="22"/>
        </w:rPr>
      </w:pPr>
      <w:r>
        <w:rPr>
          <w:sz w:val="22"/>
          <w:szCs w:val="22"/>
        </w:rPr>
        <w:t>Na drugom kraju generacijskog lanca postoji potreba za politikama koje bi pružale podršku starijim radnicima na tržištu rada kako bi mogli raditi do zakonske dobi za umirovljenje koja je na snazi u njihovoj zemlji .</w:t>
      </w:r>
      <w:r w:rsidR="00735131" w:rsidRPr="005211DB">
        <w:rPr>
          <w:rStyle w:val="FootnoteReference"/>
          <w:szCs w:val="24"/>
        </w:rPr>
        <w:footnoteReference w:id="17"/>
      </w:r>
      <w:r>
        <w:rPr>
          <w:sz w:val="22"/>
          <w:szCs w:val="22"/>
        </w:rPr>
        <w:t xml:space="preserve"> To bi se moglo postići poboljšanjem mogućnosti zapošljavanja i radnih uvjeta kako bi se stvorila radna mjesta prilagođenija potrebama starijih osoba. Posebnu pozornost treba posvetiti borbi protiv dobne diskriminacije na tržištu rada.</w:t>
      </w:r>
    </w:p>
    <w:p w14:paraId="5F5F0A7F" w14:textId="77777777" w:rsidR="00C57504" w:rsidRPr="005211DB" w:rsidRDefault="00C57504" w:rsidP="0005438B">
      <w:pPr>
        <w:widowControl/>
        <w:ind w:left="567" w:hanging="567"/>
      </w:pPr>
    </w:p>
    <w:p w14:paraId="5C229C8D" w14:textId="7494198F" w:rsidR="00C57504" w:rsidRPr="005211DB" w:rsidRDefault="0022103D" w:rsidP="0005438B">
      <w:pPr>
        <w:pStyle w:val="Heading2"/>
        <w:widowControl/>
        <w:ind w:left="567" w:hanging="567"/>
      </w:pPr>
      <w:r>
        <w:rPr>
          <w:sz w:val="22"/>
          <w:szCs w:val="22"/>
        </w:rPr>
        <w:t>Posebnu pozornost treba posvetiti i zdravlju i sigurnosti na radu s obzirom na činjenicu da starenje dovodi do povećanog rizika od zdravstvenih problema. Stoga je od ključne važnosti rad organizirati i radna mjesta osmisliti tako da se te bolesti mogu spriječiti i da više zaposlenika može raditi do redovne dobi za umirovljenje</w:t>
      </w:r>
      <w:r w:rsidR="00C57504" w:rsidRPr="005211DB">
        <w:rPr>
          <w:rStyle w:val="FootnoteReference"/>
        </w:rPr>
        <w:footnoteReference w:id="18"/>
      </w:r>
      <w:r>
        <w:t>.</w:t>
      </w:r>
    </w:p>
    <w:p w14:paraId="36DCB513" w14:textId="77777777" w:rsidR="005565AC" w:rsidRPr="005211DB" w:rsidRDefault="005565AC" w:rsidP="0005438B">
      <w:pPr>
        <w:widowControl/>
        <w:ind w:left="567" w:hanging="567"/>
        <w:rPr>
          <w:b/>
          <w:sz w:val="22"/>
          <w:szCs w:val="22"/>
        </w:rPr>
      </w:pPr>
    </w:p>
    <w:p w14:paraId="4C1B6A4D" w14:textId="77777777" w:rsidR="005565AC" w:rsidRPr="005211DB" w:rsidRDefault="005565AC" w:rsidP="0005438B">
      <w:pPr>
        <w:pStyle w:val="Heading1"/>
        <w:keepNext/>
        <w:keepLines/>
        <w:widowControl/>
        <w:ind w:left="567" w:hanging="567"/>
        <w:rPr>
          <w:b/>
          <w:sz w:val="22"/>
          <w:szCs w:val="22"/>
        </w:rPr>
      </w:pPr>
      <w:r>
        <w:rPr>
          <w:b/>
          <w:sz w:val="22"/>
          <w:szCs w:val="22"/>
        </w:rPr>
        <w:t>Važnost obiteljskih politika za ostvarenje dinamične demografije</w:t>
      </w:r>
    </w:p>
    <w:p w14:paraId="52C9E1FD" w14:textId="77777777" w:rsidR="00FE1BD3" w:rsidRPr="005211DB" w:rsidRDefault="00FE1BD3" w:rsidP="0005438B">
      <w:pPr>
        <w:keepNext/>
        <w:keepLines/>
        <w:widowControl/>
        <w:ind w:left="567" w:hanging="567"/>
        <w:rPr>
          <w:sz w:val="22"/>
          <w:szCs w:val="22"/>
        </w:rPr>
      </w:pPr>
    </w:p>
    <w:p w14:paraId="25EF94D5" w14:textId="3E392594" w:rsidR="005565AC" w:rsidRPr="005211DB" w:rsidRDefault="00295801" w:rsidP="0005438B">
      <w:pPr>
        <w:pStyle w:val="Heading2"/>
        <w:widowControl/>
        <w:ind w:left="567" w:hanging="567"/>
        <w:rPr>
          <w:sz w:val="22"/>
          <w:szCs w:val="22"/>
        </w:rPr>
      </w:pPr>
      <w:r>
        <w:rPr>
          <w:sz w:val="22"/>
          <w:szCs w:val="22"/>
        </w:rPr>
        <w:t>Države članice koje imaju aktivne obiteljske politike imaju više stope nataliteta od onih koje takve politike nemaju ili su loše. Cilj je takvih politika zajamčiti da rađanje djece, koja su budućnost Europe, ne utječe štetno na životni standard ili karijeru. Da bi se to postiglo potrebno je međusobno uskladiti fiskalne mjere, socijalno zakonodavstvo, izravnu financijsku pomoć i učinkovite i cjenovno dostupne javne usluge, uključujući sustave čuvanja djece. Ako se provode, te su politike učinkovite.</w:t>
      </w:r>
      <w:r w:rsidR="00FE1BD3" w:rsidRPr="005211DB">
        <w:rPr>
          <w:rStyle w:val="FootnoteReference"/>
          <w:szCs w:val="24"/>
        </w:rPr>
        <w:footnoteReference w:id="19"/>
      </w:r>
      <w:r>
        <w:rPr>
          <w:sz w:val="22"/>
          <w:szCs w:val="22"/>
        </w:rPr>
        <w:t xml:space="preserve"> Međutim, da bi takve i ostale, moraju biti održive i predstavljati stabilnu zakonodavnu osnovu.</w:t>
      </w:r>
    </w:p>
    <w:p w14:paraId="732D74C2" w14:textId="77777777" w:rsidR="00FE1BD3" w:rsidRPr="005211DB" w:rsidRDefault="00FE1BD3" w:rsidP="0005438B">
      <w:pPr>
        <w:widowControl/>
        <w:ind w:left="567" w:hanging="567"/>
        <w:rPr>
          <w:sz w:val="22"/>
          <w:szCs w:val="22"/>
        </w:rPr>
      </w:pPr>
    </w:p>
    <w:p w14:paraId="31E53E53" w14:textId="74187463" w:rsidR="00FE1BD3" w:rsidRPr="005211DB" w:rsidRDefault="005565AC" w:rsidP="0005438B">
      <w:pPr>
        <w:pStyle w:val="Heading2"/>
        <w:widowControl/>
        <w:ind w:left="567" w:hanging="567"/>
        <w:rPr>
          <w:sz w:val="22"/>
          <w:szCs w:val="22"/>
        </w:rPr>
      </w:pPr>
      <w:r>
        <w:rPr>
          <w:sz w:val="22"/>
          <w:szCs w:val="22"/>
        </w:rPr>
        <w:t>Međutim, te su obiteljske politike dio šireg okvira koji jamči njihovu učinkovitost: radna mjesta, gospodarska i socijalna dinamika, kultura koja pogoduje osnivanju obitelji, prilagođena politika stanovanja, djelotvoran obrazovni sustav i okolišne politike. Obiteljski i poslovni život među glavnim su brigama koje muče europske muškarce i žene te stoga moraju biti i u središtu pozornosti europskog društva.</w:t>
      </w:r>
    </w:p>
    <w:p w14:paraId="4294B5C4" w14:textId="77777777" w:rsidR="00295801" w:rsidRPr="005211DB" w:rsidRDefault="00295801" w:rsidP="0005438B">
      <w:pPr>
        <w:widowControl/>
        <w:ind w:left="567" w:hanging="567"/>
        <w:rPr>
          <w:sz w:val="22"/>
          <w:szCs w:val="22"/>
        </w:rPr>
      </w:pPr>
    </w:p>
    <w:p w14:paraId="5E0E0235" w14:textId="11D10F7C" w:rsidR="005565AC" w:rsidRPr="005211DB" w:rsidRDefault="005565AC" w:rsidP="0005438B">
      <w:pPr>
        <w:pStyle w:val="Heading2"/>
        <w:widowControl/>
        <w:ind w:left="567" w:hanging="567"/>
        <w:rPr>
          <w:sz w:val="22"/>
          <w:szCs w:val="22"/>
        </w:rPr>
      </w:pPr>
      <w:r>
        <w:rPr>
          <w:sz w:val="22"/>
          <w:szCs w:val="22"/>
        </w:rPr>
        <w:t>Demografija je područje koje iziskuje dugoročne mjere usklađene na europskoj razini. EU bi trebao osmisliti zajedničke smjernice temeljene na međugeneracijskoj solidarnosti i rodnoj ravnopravnosti, uzimajući u obzir nacionalnu kulturu i razlike u socijalnim politikama. Trenutačno stanje Europske unije zahtijeva i donošenje mjera usmjerenih na podizanje stope nataliteta. Kaže se da „tko želi upravljati mora i predviđati”. Zato je od ključne važnosti djelovati danas.</w:t>
      </w:r>
    </w:p>
    <w:p w14:paraId="5A779B92" w14:textId="77777777" w:rsidR="00BD6496" w:rsidRPr="005211DB" w:rsidRDefault="00BD6496" w:rsidP="0005438B">
      <w:pPr>
        <w:widowControl/>
        <w:ind w:left="567" w:hanging="567"/>
      </w:pPr>
    </w:p>
    <w:p w14:paraId="39981498" w14:textId="38063F62" w:rsidR="00BD6496" w:rsidRPr="005211DB" w:rsidRDefault="00BD6496" w:rsidP="0005438B">
      <w:pPr>
        <w:pStyle w:val="Heading1"/>
        <w:keepNext/>
        <w:keepLines/>
        <w:widowControl/>
        <w:ind w:left="567" w:hanging="567"/>
        <w:rPr>
          <w:b/>
          <w:bCs/>
          <w:sz w:val="22"/>
          <w:szCs w:val="22"/>
        </w:rPr>
      </w:pPr>
      <w:r>
        <w:rPr>
          <w:b/>
          <w:bCs/>
          <w:sz w:val="22"/>
          <w:szCs w:val="22"/>
        </w:rPr>
        <w:t>Migracije, uključujući unutarnju mobilnost EU-a</w:t>
      </w:r>
    </w:p>
    <w:p w14:paraId="1A5ADBEB" w14:textId="77777777" w:rsidR="00BD6496" w:rsidRPr="005211DB" w:rsidRDefault="00BD6496" w:rsidP="0005438B">
      <w:pPr>
        <w:keepNext/>
        <w:keepLines/>
        <w:widowControl/>
        <w:ind w:left="567" w:hanging="567"/>
      </w:pPr>
    </w:p>
    <w:p w14:paraId="2AB391E7" w14:textId="3B96C5D5" w:rsidR="00BD6496" w:rsidRPr="005211DB" w:rsidRDefault="00BD6496" w:rsidP="0005438B">
      <w:pPr>
        <w:pStyle w:val="Heading2"/>
        <w:widowControl/>
        <w:ind w:left="567" w:hanging="567"/>
        <w:rPr>
          <w:sz w:val="22"/>
          <w:szCs w:val="22"/>
        </w:rPr>
      </w:pPr>
      <w:r>
        <w:rPr>
          <w:sz w:val="22"/>
          <w:szCs w:val="22"/>
        </w:rPr>
        <w:t xml:space="preserve">Kad je riječ o ulozi imigracije u rješavanju demografskih izazova, EGSO ponavlja svoje stajalište da </w:t>
      </w:r>
      <w:r>
        <w:rPr>
          <w:i/>
          <w:sz w:val="22"/>
          <w:szCs w:val="22"/>
        </w:rPr>
        <w:t>imigracija pozitivno utječe na rast stanovništva i radne snage</w:t>
      </w:r>
      <w:r>
        <w:rPr>
          <w:sz w:val="22"/>
          <w:szCs w:val="22"/>
        </w:rPr>
        <w:t>.</w:t>
      </w:r>
      <w:r>
        <w:rPr>
          <w:i/>
          <w:sz w:val="22"/>
          <w:szCs w:val="22"/>
        </w:rPr>
        <w:t xml:space="preserve"> Ako prirodni rast stanovništva postane negativan, imigracija bi mogla pomoći u održavanju postojanosti ukupnog broja stanovnika i radne snage; Doduše, imigracija nije konačno rješenje za svladavanje posljedica demografskog starenja u Europi. Međutim, mogla bi biti rješenje i za nedostatak radne snage i vještina koji nije povezan s demografskim procesima.</w:t>
      </w:r>
      <w:r w:rsidR="00913AAE" w:rsidRPr="005211DB">
        <w:rPr>
          <w:rStyle w:val="FootnoteReference"/>
          <w:szCs w:val="22"/>
        </w:rPr>
        <w:footnoteReference w:id="20"/>
      </w:r>
    </w:p>
    <w:p w14:paraId="45F101FD" w14:textId="77777777" w:rsidR="00011D33" w:rsidRPr="005211DB" w:rsidRDefault="00011D33" w:rsidP="0005438B">
      <w:pPr>
        <w:widowControl/>
        <w:ind w:left="567" w:hanging="567"/>
        <w:rPr>
          <w:sz w:val="22"/>
          <w:szCs w:val="22"/>
        </w:rPr>
      </w:pPr>
    </w:p>
    <w:p w14:paraId="49E63428" w14:textId="6F6D1973" w:rsidR="00913AAE" w:rsidRPr="005211DB" w:rsidRDefault="002362F3" w:rsidP="0005438B">
      <w:pPr>
        <w:pStyle w:val="Heading2"/>
        <w:widowControl/>
        <w:ind w:left="567" w:hanging="567"/>
        <w:rPr>
          <w:sz w:val="22"/>
          <w:szCs w:val="22"/>
        </w:rPr>
      </w:pPr>
      <w:r>
        <w:rPr>
          <w:sz w:val="22"/>
          <w:szCs w:val="22"/>
        </w:rPr>
        <w:t>Treba se potruditi i da se ne potiče sustavna migracija visokokvalificiranih i visokostručnih radnika jer bi se time dodatno povećao nedostatak vještina u zemljama u razvoju, što bi naštetilo njihovu gospodarskom i društvenom razvoju. Također je važno provesti aktivne politike prihvata i integracije kako se doseljenici ne bi susretali s poteškoćama pri izgradnji života u novoj kulturi i novoj zemlji.</w:t>
      </w:r>
    </w:p>
    <w:p w14:paraId="022F254F" w14:textId="77777777" w:rsidR="002362F3" w:rsidRPr="005211DB" w:rsidRDefault="002362F3" w:rsidP="0005438B">
      <w:pPr>
        <w:widowControl/>
        <w:ind w:left="567" w:hanging="567"/>
      </w:pPr>
    </w:p>
    <w:p w14:paraId="65B703DD" w14:textId="7A8025DB" w:rsidR="002362F3" w:rsidRPr="005211DB" w:rsidRDefault="0022103D" w:rsidP="0005438B">
      <w:pPr>
        <w:pStyle w:val="Heading2"/>
        <w:widowControl/>
        <w:ind w:left="567" w:hanging="567"/>
        <w:rPr>
          <w:sz w:val="22"/>
          <w:szCs w:val="22"/>
        </w:rPr>
      </w:pPr>
      <w:r>
        <w:rPr>
          <w:sz w:val="22"/>
          <w:szCs w:val="22"/>
        </w:rPr>
        <w:t xml:space="preserve">Slobodno kretanje građana EU-a jedna je od temeljnih sloboda Unije. Međutim, visoke stope migracija unutar EU-a mogu državama članicama podrijetla prouzrokovati posebne probleme (npr. ubrzavanje starenja ili gubitak radne snage i kompetencija), a s problemima se suočavaju i države primateljice. </w:t>
      </w:r>
    </w:p>
    <w:p w14:paraId="391C3005" w14:textId="77777777" w:rsidR="002362F3" w:rsidRPr="005211DB" w:rsidRDefault="002362F3" w:rsidP="0005438B">
      <w:pPr>
        <w:widowControl/>
        <w:ind w:left="567" w:hanging="567"/>
      </w:pPr>
    </w:p>
    <w:p w14:paraId="096B0E88" w14:textId="75902437" w:rsidR="002362F3" w:rsidRPr="005211DB" w:rsidRDefault="002362F3" w:rsidP="00B03CF4">
      <w:pPr>
        <w:pStyle w:val="Heading2"/>
        <w:keepNext/>
        <w:keepLines/>
        <w:widowControl/>
        <w:ind w:left="567" w:hanging="567"/>
      </w:pPr>
      <w:bookmarkStart w:id="0" w:name="_GoBack"/>
      <w:r>
        <w:rPr>
          <w:sz w:val="22"/>
          <w:szCs w:val="22"/>
        </w:rPr>
        <w:t>Postavlja se pitanje je li ta mobilnost u EU-u nepovratna ili tek privremena i hoće li se ti ljudi u pravilu vraćati u svoju zemlju podrijetla. Velik dio osoba koje napuste svoju zemlju vrati se kući za dvije godine. To je oblik kružne mobilnosti i takva kretanja uzajamno obogaćuju dotične zemlje. Da bi to uvijek bilo tako, trebala bi postojati uzlazna gospodarska i socijalna konvergencija između istoka i zapada te juga i zapada. Smanjenje postojećeg jaza najbolji je način usporavanja odljeva radne snage.</w:t>
      </w:r>
    </w:p>
    <w:bookmarkEnd w:id="0"/>
    <w:p w14:paraId="46A8FF3E" w14:textId="6192D8FB" w:rsidR="00981736" w:rsidRPr="005211DB" w:rsidRDefault="00981736" w:rsidP="0001215C">
      <w:pPr>
        <w:keepNext/>
        <w:keepLines/>
        <w:rPr>
          <w:sz w:val="22"/>
          <w:szCs w:val="22"/>
        </w:rPr>
      </w:pPr>
    </w:p>
    <w:p w14:paraId="732E59D4" w14:textId="1043B546" w:rsidR="008B2A27" w:rsidRPr="005211DB" w:rsidRDefault="008B2A27" w:rsidP="0001215C">
      <w:pPr>
        <w:keepNext/>
        <w:keepLines/>
        <w:widowControl/>
        <w:overflowPunct/>
        <w:adjustRightInd/>
        <w:jc w:val="left"/>
        <w:textAlignment w:val="auto"/>
        <w:rPr>
          <w:sz w:val="22"/>
          <w:szCs w:val="22"/>
        </w:rPr>
      </w:pPr>
      <w:r>
        <w:rPr>
          <w:sz w:val="22"/>
          <w:szCs w:val="22"/>
        </w:rPr>
        <w:t>Bruxelles, 7. svibnja 2020.</w:t>
      </w:r>
    </w:p>
    <w:p w14:paraId="3060943E" w14:textId="7BE6E71C" w:rsidR="008B2A27" w:rsidRPr="005211DB" w:rsidRDefault="008B2A27" w:rsidP="0001215C">
      <w:pPr>
        <w:keepNext/>
        <w:keepLines/>
        <w:widowControl/>
        <w:overflowPunct/>
        <w:adjustRightInd/>
        <w:jc w:val="left"/>
        <w:textAlignment w:val="auto"/>
        <w:rPr>
          <w:sz w:val="22"/>
          <w:szCs w:val="22"/>
        </w:rPr>
      </w:pPr>
    </w:p>
    <w:p w14:paraId="643D1581" w14:textId="54D5EEF1" w:rsidR="008B2A27" w:rsidRPr="005211DB" w:rsidRDefault="008B2A27" w:rsidP="0001215C">
      <w:pPr>
        <w:keepNext/>
        <w:keepLines/>
        <w:widowControl/>
        <w:overflowPunct/>
        <w:adjustRightInd/>
        <w:jc w:val="left"/>
        <w:textAlignment w:val="auto"/>
        <w:rPr>
          <w:sz w:val="22"/>
          <w:szCs w:val="22"/>
        </w:rPr>
      </w:pPr>
    </w:p>
    <w:p w14:paraId="2E3C7CAD" w14:textId="2633838A" w:rsidR="008B2A27" w:rsidRPr="005211DB" w:rsidRDefault="008B2A27" w:rsidP="0001215C">
      <w:pPr>
        <w:keepNext/>
        <w:keepLines/>
        <w:widowControl/>
        <w:overflowPunct/>
        <w:adjustRightInd/>
        <w:jc w:val="left"/>
        <w:textAlignment w:val="auto"/>
        <w:rPr>
          <w:sz w:val="22"/>
          <w:szCs w:val="22"/>
        </w:rPr>
      </w:pPr>
    </w:p>
    <w:p w14:paraId="214A08CC" w14:textId="77777777" w:rsidR="00F025A5" w:rsidRPr="005211DB" w:rsidRDefault="00F025A5" w:rsidP="0001215C">
      <w:pPr>
        <w:keepNext/>
        <w:keepLines/>
        <w:widowControl/>
        <w:overflowPunct/>
        <w:adjustRightInd/>
        <w:jc w:val="left"/>
        <w:textAlignment w:val="auto"/>
        <w:rPr>
          <w:sz w:val="22"/>
          <w:szCs w:val="22"/>
        </w:rPr>
      </w:pPr>
    </w:p>
    <w:p w14:paraId="59939568" w14:textId="108DED30" w:rsidR="008B2A27" w:rsidRPr="005211DB" w:rsidRDefault="00766C28" w:rsidP="0001215C">
      <w:pPr>
        <w:keepNext/>
        <w:keepLines/>
        <w:widowControl/>
        <w:overflowPunct/>
        <w:autoSpaceDE/>
        <w:autoSpaceDN/>
        <w:adjustRightInd/>
        <w:textAlignment w:val="auto"/>
        <w:rPr>
          <w:sz w:val="22"/>
          <w:szCs w:val="22"/>
        </w:rPr>
      </w:pPr>
      <w:r>
        <w:rPr>
          <w:sz w:val="22"/>
          <w:szCs w:val="22"/>
        </w:rPr>
        <w:t>Luca Jahier</w:t>
      </w:r>
    </w:p>
    <w:p w14:paraId="25C06598" w14:textId="2FD10B1A" w:rsidR="008B2A27" w:rsidRPr="005211DB" w:rsidRDefault="008B2A27" w:rsidP="0001215C">
      <w:pPr>
        <w:keepNext/>
        <w:keepLines/>
        <w:widowControl/>
        <w:overflowPunct/>
        <w:adjustRightInd/>
        <w:jc w:val="left"/>
        <w:textAlignment w:val="auto"/>
        <w:rPr>
          <w:sz w:val="22"/>
          <w:szCs w:val="22"/>
        </w:rPr>
      </w:pPr>
      <w:r>
        <w:rPr>
          <w:sz w:val="22"/>
          <w:szCs w:val="22"/>
        </w:rPr>
        <w:t>Predsjednik Europskog gospodarskog i socijalnog odbora</w:t>
      </w:r>
    </w:p>
    <w:p w14:paraId="3E0810B7" w14:textId="589CE087" w:rsidR="00E64491" w:rsidRPr="005211DB" w:rsidRDefault="00E64491" w:rsidP="0001215C">
      <w:pPr>
        <w:keepNext/>
        <w:keepLines/>
        <w:widowControl/>
        <w:overflowPunct/>
        <w:adjustRightInd/>
        <w:jc w:val="left"/>
        <w:textAlignment w:val="auto"/>
        <w:rPr>
          <w:sz w:val="22"/>
          <w:szCs w:val="22"/>
          <w:lang w:eastAsia="en-US"/>
        </w:rPr>
      </w:pPr>
    </w:p>
    <w:p w14:paraId="6B191B4B" w14:textId="3B15995B" w:rsidR="00646AC2" w:rsidRPr="005211DB" w:rsidRDefault="00646AC2" w:rsidP="0001215C">
      <w:pPr>
        <w:keepNext/>
        <w:keepLines/>
        <w:widowControl/>
        <w:overflowPunct/>
        <w:adjustRightInd/>
        <w:jc w:val="center"/>
        <w:textAlignment w:val="auto"/>
        <w:rPr>
          <w:sz w:val="22"/>
          <w:szCs w:val="22"/>
        </w:rPr>
      </w:pPr>
      <w:r>
        <w:rPr>
          <w:sz w:val="22"/>
          <w:szCs w:val="22"/>
        </w:rPr>
        <w:t>_____________</w:t>
      </w:r>
    </w:p>
    <w:sectPr w:rsidR="00646AC2" w:rsidRPr="005211DB" w:rsidSect="00344F3C">
      <w:headerReference w:type="even" r:id="rId14"/>
      <w:headerReference w:type="default" r:id="rId15"/>
      <w:footerReference w:type="even" r:id="rId16"/>
      <w:footerReference w:type="default" r:id="rId17"/>
      <w:headerReference w:type="first" r:id="rId18"/>
      <w:footerReference w:type="first" r:id="rId19"/>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4AE59" w14:textId="77777777" w:rsidR="00AD5B10" w:rsidRDefault="00AD5B10">
      <w:r>
        <w:separator/>
      </w:r>
    </w:p>
  </w:endnote>
  <w:endnote w:type="continuationSeparator" w:id="0">
    <w:p w14:paraId="69F84F23" w14:textId="77777777" w:rsidR="00AD5B10" w:rsidRDefault="00AD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8A453" w14:textId="14496E37" w:rsidR="005211DB" w:rsidRPr="00344F3C" w:rsidRDefault="00344F3C" w:rsidP="00344F3C">
    <w:pPr>
      <w:pStyle w:val="Footer"/>
    </w:pPr>
    <w:r>
      <w:t xml:space="preserve">SOC/628 – EESC-2019-04587-00-00-AC-TRA (EN) </w:t>
    </w:r>
    <w:r>
      <w:fldChar w:fldCharType="begin"/>
    </w:r>
    <w:r>
      <w:instrText xml:space="preserve"> PAGE  \* Arabic  \* MERGEFORMAT </w:instrText>
    </w:r>
    <w:r>
      <w:fldChar w:fldCharType="separate"/>
    </w:r>
    <w:r w:rsidR="00B03CF4">
      <w:rPr>
        <w:noProof/>
      </w:rPr>
      <w:t>1</w:t>
    </w:r>
    <w:r>
      <w:fldChar w:fldCharType="end"/>
    </w:r>
    <w:r>
      <w:t>/</w:t>
    </w:r>
    <w:r w:rsidR="00B03CF4">
      <w:fldChar w:fldCharType="begin"/>
    </w:r>
    <w:r w:rsidR="00B03CF4">
      <w:instrText xml:space="preserve"> NUMPAGES </w:instrText>
    </w:r>
    <w:r w:rsidR="00B03CF4">
      <w:fldChar w:fldCharType="separate"/>
    </w:r>
    <w:r w:rsidR="00B03CF4">
      <w:rPr>
        <w:noProof/>
      </w:rPr>
      <w:t>11</w:t>
    </w:r>
    <w:r w:rsidR="00B03CF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05756" w14:textId="77777777" w:rsidR="007A31A8" w:rsidRPr="00344F3C" w:rsidRDefault="007A31A8" w:rsidP="00344F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86470" w14:textId="40C038D1" w:rsidR="007A31A8" w:rsidRPr="00344F3C" w:rsidRDefault="00344F3C" w:rsidP="00344F3C">
    <w:pPr>
      <w:pStyle w:val="Footer"/>
    </w:pPr>
    <w:r>
      <w:t xml:space="preserve">SOC/628 – EESC-2019-04587-00-00-AC-TRA (EN) </w:t>
    </w:r>
    <w:r>
      <w:fldChar w:fldCharType="begin"/>
    </w:r>
    <w:r>
      <w:instrText xml:space="preserve"> PAGE  \* Arabic  \* MERGEFORMAT </w:instrText>
    </w:r>
    <w:r>
      <w:fldChar w:fldCharType="separate"/>
    </w:r>
    <w:r w:rsidR="00B03CF4">
      <w:rPr>
        <w:noProof/>
      </w:rPr>
      <w:t>11</w:t>
    </w:r>
    <w:r>
      <w:fldChar w:fldCharType="end"/>
    </w:r>
    <w:r>
      <w:t>/</w:t>
    </w:r>
    <w:r w:rsidR="00B03CF4">
      <w:fldChar w:fldCharType="begin"/>
    </w:r>
    <w:r w:rsidR="00B03CF4">
      <w:instrText xml:space="preserve"> NUMPAGES </w:instrText>
    </w:r>
    <w:r w:rsidR="00B03CF4">
      <w:fldChar w:fldCharType="separate"/>
    </w:r>
    <w:r w:rsidR="00B03CF4">
      <w:rPr>
        <w:noProof/>
      </w:rPr>
      <w:t>11</w:t>
    </w:r>
    <w:r w:rsidR="00B03CF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7E096" w14:textId="77777777" w:rsidR="007A31A8" w:rsidRPr="00344F3C" w:rsidRDefault="007A31A8" w:rsidP="00344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C4015" w14:textId="77777777" w:rsidR="00AD5B10" w:rsidRDefault="00AD5B10">
      <w:r>
        <w:separator/>
      </w:r>
    </w:p>
  </w:footnote>
  <w:footnote w:type="continuationSeparator" w:id="0">
    <w:p w14:paraId="0547F5A5" w14:textId="77777777" w:rsidR="00AD5B10" w:rsidRDefault="00AD5B10">
      <w:r>
        <w:continuationSeparator/>
      </w:r>
    </w:p>
  </w:footnote>
  <w:footnote w:id="1">
    <w:p w14:paraId="331F48A6" w14:textId="77777777" w:rsidR="004A7D0F" w:rsidRPr="0001215C" w:rsidRDefault="004A7D0F" w:rsidP="007A31A8">
      <w:pPr>
        <w:pStyle w:val="FootnoteText"/>
        <w:ind w:left="567" w:hanging="567"/>
      </w:pPr>
      <w:r>
        <w:rPr>
          <w:rStyle w:val="FootnoteReference"/>
        </w:rPr>
        <w:footnoteRef/>
      </w:r>
      <w:r>
        <w:t xml:space="preserve"> </w:t>
      </w:r>
      <w:r>
        <w:tab/>
        <w:t xml:space="preserve">Gérard-François Dumont </w:t>
      </w:r>
      <w:r>
        <w:rPr>
          <w:i/>
        </w:rPr>
        <w:t>Vue de ses frontières, une Europe vieillissante mais attractive pour les migrants</w:t>
      </w:r>
      <w:r>
        <w:t xml:space="preserve"> („Gledana sa svojih granica, Europa je sve starija, ali migrantima privlačna“), Diploweb, La revue géopolitique, 3. 11. 2019.</w:t>
      </w:r>
    </w:p>
  </w:footnote>
  <w:footnote w:id="2">
    <w:p w14:paraId="5DDBC357" w14:textId="456FA3C8" w:rsidR="002426EC" w:rsidRPr="00C34271" w:rsidRDefault="002426EC" w:rsidP="006763CD">
      <w:pPr>
        <w:pStyle w:val="FootnoteText"/>
        <w:ind w:left="567" w:hanging="567"/>
      </w:pPr>
      <w:r>
        <w:rPr>
          <w:rStyle w:val="FootnoteReference"/>
        </w:rPr>
        <w:footnoteRef/>
      </w:r>
      <w:r>
        <w:t xml:space="preserve"> </w:t>
      </w:r>
      <w:r>
        <w:tab/>
      </w:r>
      <w:hyperlink r:id="rId1" w:history="1">
        <w:r>
          <w:rPr>
            <w:rStyle w:val="Hyperlink"/>
          </w:rPr>
          <w:t>https://www.etui.org/Publications2/Working-Papers/Why-central-and-eastern-Europe-needs-a-pay-rise</w:t>
        </w:r>
      </w:hyperlink>
      <w:r>
        <w:t>.</w:t>
      </w:r>
    </w:p>
  </w:footnote>
  <w:footnote w:id="3">
    <w:p w14:paraId="5232E6DD" w14:textId="77777777" w:rsidR="0074759E" w:rsidRPr="00E77192" w:rsidRDefault="0074759E" w:rsidP="0074759E">
      <w:pPr>
        <w:pStyle w:val="FootnoteText"/>
        <w:ind w:left="567" w:hanging="567"/>
      </w:pPr>
      <w:r>
        <w:rPr>
          <w:rStyle w:val="FootnoteReference"/>
        </w:rPr>
        <w:footnoteRef/>
      </w:r>
      <w:r>
        <w:t xml:space="preserve"> </w:t>
      </w:r>
      <w:r>
        <w:tab/>
      </w:r>
      <w:r>
        <w:rPr>
          <w:i/>
        </w:rPr>
        <w:t>Demographic Scenarios for the EU</w:t>
      </w:r>
      <w:r>
        <w:t xml:space="preserve"> („Demografski scenariji u EU-u“), 2019., </w:t>
      </w:r>
      <w:hyperlink r:id="rId2" w:history="1">
        <w:r>
          <w:rPr>
            <w:rStyle w:val="Hyperlink"/>
          </w:rPr>
          <w:t>https://ec.</w:t>
        </w:r>
        <w:r>
          <w:rPr>
            <w:rStyle w:val="Hyperlink"/>
          </w:rPr>
          <w:t>europa.eu/jrc/en/publication/eur-scientific-and-technical-research-reports/demographic-scenarios-eu</w:t>
        </w:r>
      </w:hyperlink>
      <w:r>
        <w:t>.</w:t>
      </w:r>
    </w:p>
  </w:footnote>
  <w:footnote w:id="4">
    <w:p w14:paraId="06AC7C0A" w14:textId="77777777" w:rsidR="0074759E" w:rsidRPr="00E77192" w:rsidRDefault="0074759E" w:rsidP="00DD65E3">
      <w:pPr>
        <w:pStyle w:val="FootnoteText"/>
        <w:ind w:left="567" w:hanging="567"/>
      </w:pPr>
      <w:r>
        <w:rPr>
          <w:rStyle w:val="FootnoteReference"/>
        </w:rPr>
        <w:footnoteRef/>
      </w:r>
      <w:r>
        <w:t xml:space="preserve"> </w:t>
      </w:r>
      <w:r>
        <w:tab/>
      </w:r>
      <w:hyperlink r:id="rId3" w:history="1">
        <w:r>
          <w:rPr>
            <w:rStyle w:val="Hyperlink"/>
          </w:rPr>
          <w:t>https://www.etui.org/Publications2/Working-Papers/Why-central-and-eastern-Europe-needs-a-pay-rise</w:t>
        </w:r>
      </w:hyperlink>
      <w:r>
        <w:t>.</w:t>
      </w:r>
    </w:p>
  </w:footnote>
  <w:footnote w:id="5">
    <w:p w14:paraId="2590D227" w14:textId="77777777" w:rsidR="005E09C6" w:rsidRPr="00E77192" w:rsidRDefault="005E09C6" w:rsidP="00DD65E3">
      <w:pPr>
        <w:pStyle w:val="FootnoteText"/>
        <w:ind w:left="567" w:hanging="567"/>
      </w:pPr>
      <w:r>
        <w:rPr>
          <w:rStyle w:val="FootnoteReference"/>
        </w:rPr>
        <w:footnoteRef/>
      </w:r>
      <w:r>
        <w:tab/>
        <w:t>Godišnje izvješće za 2018. o mobilnosti radne snage unutar EU-a, Završno izvješće za 2018.</w:t>
      </w:r>
    </w:p>
  </w:footnote>
  <w:footnote w:id="6">
    <w:p w14:paraId="2793C2F5" w14:textId="36AFBC96" w:rsidR="007A6EF6" w:rsidRPr="00E77192" w:rsidRDefault="007A6EF6" w:rsidP="0059608A">
      <w:pPr>
        <w:pStyle w:val="FootnoteText"/>
        <w:ind w:left="567" w:hanging="567"/>
      </w:pPr>
      <w:r>
        <w:rPr>
          <w:rStyle w:val="FootnoteReference"/>
        </w:rPr>
        <w:footnoteRef/>
      </w:r>
      <w:r>
        <w:t xml:space="preserve"> </w:t>
      </w:r>
      <w:r>
        <w:tab/>
      </w:r>
      <w:hyperlink r:id="rId4" w:history="1">
        <w:r>
          <w:rPr>
            <w:rStyle w:val="Hyperlink"/>
          </w:rPr>
          <w:t>SL C 218, 23.7.2</w:t>
        </w:r>
        <w:r>
          <w:rPr>
            <w:rStyle w:val="Hyperlink"/>
          </w:rPr>
          <w:t>011., str. 7.</w:t>
        </w:r>
      </w:hyperlink>
      <w:r>
        <w:t xml:space="preserve"> i </w:t>
      </w:r>
      <w:hyperlink r:id="rId5" w:history="1">
        <w:r>
          <w:rPr>
            <w:rStyle w:val="Hyperlink"/>
          </w:rPr>
          <w:t>SL C 161, 13</w:t>
        </w:r>
        <w:r>
          <w:rPr>
            <w:rStyle w:val="Hyperlink"/>
          </w:rPr>
          <w:t>.07.2007., str. 66</w:t>
        </w:r>
      </w:hyperlink>
      <w:r>
        <w:t>.</w:t>
      </w:r>
    </w:p>
  </w:footnote>
  <w:footnote w:id="7">
    <w:p w14:paraId="6AAB0AB1" w14:textId="0650D58D" w:rsidR="000C7625" w:rsidRPr="00E77192" w:rsidRDefault="000C7625" w:rsidP="0059608A">
      <w:pPr>
        <w:pStyle w:val="FootnoteText"/>
        <w:ind w:left="567" w:hanging="567"/>
      </w:pPr>
      <w:r>
        <w:rPr>
          <w:rStyle w:val="FootnoteReference"/>
        </w:rPr>
        <w:footnoteRef/>
      </w:r>
      <w:r>
        <w:tab/>
      </w:r>
      <w:hyperlink r:id="rId6" w:history="1">
        <w:r>
          <w:rPr>
            <w:rStyle w:val="Hyperlink"/>
          </w:rPr>
          <w:t>SL C 318, 29.10.</w:t>
        </w:r>
        <w:r>
          <w:rPr>
            <w:rStyle w:val="Hyperlink"/>
          </w:rPr>
          <w:t>2011., str. 1.</w:t>
        </w:r>
      </w:hyperlink>
      <w:r>
        <w:t xml:space="preserve"> i </w:t>
      </w:r>
      <w:hyperlink r:id="rId7" w:history="1">
        <w:r>
          <w:rPr>
            <w:rStyle w:val="Hyperlink"/>
          </w:rPr>
          <w:t>SL C 14, 15</w:t>
        </w:r>
        <w:r>
          <w:rPr>
            <w:rStyle w:val="Hyperlink"/>
          </w:rPr>
          <w:t>.1.2020., str. 60</w:t>
        </w:r>
      </w:hyperlink>
      <w:r>
        <w:t>.</w:t>
      </w:r>
    </w:p>
  </w:footnote>
  <w:footnote w:id="8">
    <w:p w14:paraId="53D30170" w14:textId="477ECA30" w:rsidR="00CD0A2F" w:rsidRPr="00CD0A2F" w:rsidRDefault="00CD0A2F" w:rsidP="00E135A2">
      <w:pPr>
        <w:pStyle w:val="FootnoteText"/>
        <w:ind w:left="567" w:hanging="578"/>
      </w:pPr>
      <w:r>
        <w:rPr>
          <w:rStyle w:val="FootnoteReference"/>
        </w:rPr>
        <w:footnoteRef/>
      </w:r>
      <w:r>
        <w:t xml:space="preserve"> </w:t>
      </w:r>
      <w:r>
        <w:tab/>
      </w:r>
      <w:hyperlink r:id="rId8" w:history="1">
        <w:r>
          <w:rPr>
            <w:rStyle w:val="Hyperlink"/>
          </w:rPr>
          <w:t>SL C 190, 5.</w:t>
        </w:r>
        <w:r>
          <w:rPr>
            <w:rStyle w:val="Hyperlink"/>
          </w:rPr>
          <w:t>6.2019., str. 1.</w:t>
        </w:r>
      </w:hyperlink>
    </w:p>
  </w:footnote>
  <w:footnote w:id="9">
    <w:p w14:paraId="156C916B" w14:textId="097F6AFB" w:rsidR="004A7D0F" w:rsidRPr="00E77192" w:rsidRDefault="004A7D0F" w:rsidP="007A31A8">
      <w:pPr>
        <w:pStyle w:val="FootnoteText"/>
        <w:ind w:left="567" w:hanging="567"/>
      </w:pPr>
      <w:r>
        <w:rPr>
          <w:rStyle w:val="FootnoteReference"/>
        </w:rPr>
        <w:footnoteRef/>
      </w:r>
      <w:r>
        <w:t xml:space="preserve"> </w:t>
      </w:r>
      <w:r>
        <w:tab/>
      </w:r>
      <w:hyperlink r:id="rId9" w:history="1">
        <w:r>
          <w:rPr>
            <w:rStyle w:val="Hyperlink"/>
          </w:rPr>
          <w:t>SL C 71, 2</w:t>
        </w:r>
        <w:r>
          <w:rPr>
            <w:rStyle w:val="Hyperlink"/>
          </w:rPr>
          <w:t>4.2.2016, str. 46</w:t>
        </w:r>
      </w:hyperlink>
      <w:r>
        <w:t>.</w:t>
      </w:r>
    </w:p>
  </w:footnote>
  <w:footnote w:id="10">
    <w:p w14:paraId="0113624F" w14:textId="70FEE548" w:rsidR="004A7D0F" w:rsidRPr="00E77192" w:rsidRDefault="004A7D0F" w:rsidP="007A31A8">
      <w:pPr>
        <w:pStyle w:val="FootnoteText"/>
        <w:ind w:left="567" w:hanging="567"/>
      </w:pPr>
      <w:r>
        <w:rPr>
          <w:rStyle w:val="FootnoteReference"/>
        </w:rPr>
        <w:footnoteRef/>
      </w:r>
      <w:r>
        <w:t xml:space="preserve"> </w:t>
      </w:r>
      <w:r>
        <w:tab/>
      </w:r>
      <w:hyperlink r:id="rId10" w:history="1">
        <w:r>
          <w:rPr>
            <w:rStyle w:val="Hyperlink"/>
          </w:rPr>
          <w:t>https://www.un.org/ga/search/view_doc.asp?symbol=E/CN.6/2017/3</w:t>
        </w:r>
      </w:hyperlink>
    </w:p>
  </w:footnote>
  <w:footnote w:id="11">
    <w:p w14:paraId="50316ABE" w14:textId="77777777" w:rsidR="004A7D0F" w:rsidRPr="00E77192" w:rsidRDefault="004A7D0F" w:rsidP="007A31A8">
      <w:pPr>
        <w:pStyle w:val="FootnoteText"/>
        <w:ind w:left="567" w:hanging="567"/>
      </w:pPr>
      <w:r>
        <w:rPr>
          <w:rStyle w:val="FootnoteReference"/>
        </w:rPr>
        <w:footnoteRef/>
      </w:r>
      <w:r>
        <w:t xml:space="preserve"> </w:t>
      </w:r>
      <w:r>
        <w:tab/>
      </w:r>
      <w:r>
        <w:rPr>
          <w:i/>
        </w:rPr>
        <w:t>Demografski scenariji za EU,</w:t>
      </w:r>
      <w:r>
        <w:t xml:space="preserve"> 2019.</w:t>
      </w:r>
    </w:p>
  </w:footnote>
  <w:footnote w:id="12">
    <w:p w14:paraId="67A9FB07" w14:textId="33CF2FE1" w:rsidR="006E7E66" w:rsidRPr="006E7E66" w:rsidRDefault="006E7E66" w:rsidP="006763CD">
      <w:pPr>
        <w:pStyle w:val="FootnoteText"/>
        <w:ind w:left="567" w:hanging="567"/>
      </w:pPr>
      <w:r>
        <w:rPr>
          <w:rStyle w:val="FootnoteReference"/>
        </w:rPr>
        <w:footnoteRef/>
      </w:r>
      <w:r>
        <w:t xml:space="preserve"> </w:t>
      </w:r>
      <w:r>
        <w:tab/>
      </w:r>
      <w:hyperlink r:id="rId11" w:history="1">
        <w:r>
          <w:rPr>
            <w:rStyle w:val="Hyperlink"/>
          </w:rPr>
          <w:t>SL C 62, 15.2.2019</w:t>
        </w:r>
        <w:r>
          <w:rPr>
            <w:rStyle w:val="Hyperlink"/>
          </w:rPr>
          <w:t>., str. 142.</w:t>
        </w:r>
      </w:hyperlink>
    </w:p>
  </w:footnote>
  <w:footnote w:id="13">
    <w:p w14:paraId="1B665FE8" w14:textId="7D820985" w:rsidR="006E7E66" w:rsidRPr="006E7E66" w:rsidRDefault="006E7E66" w:rsidP="006763CD">
      <w:pPr>
        <w:pStyle w:val="FootnoteText"/>
        <w:ind w:left="567" w:hanging="567"/>
      </w:pPr>
      <w:r>
        <w:rPr>
          <w:rStyle w:val="FootnoteReference"/>
        </w:rPr>
        <w:footnoteRef/>
      </w:r>
      <w:r>
        <w:t xml:space="preserve"> </w:t>
      </w:r>
      <w:r>
        <w:tab/>
      </w:r>
      <w:hyperlink r:id="rId12" w:history="1">
        <w:r>
          <w:rPr>
            <w:rStyle w:val="Hyperlink"/>
          </w:rPr>
          <w:t>SL C 14, 15.1.20</w:t>
        </w:r>
        <w:r>
          <w:rPr>
            <w:rStyle w:val="Hyperlink"/>
          </w:rPr>
          <w:t>20., str. 52</w:t>
        </w:r>
      </w:hyperlink>
      <w:r>
        <w:t>.</w:t>
      </w:r>
    </w:p>
  </w:footnote>
  <w:footnote w:id="14">
    <w:p w14:paraId="41E98164" w14:textId="5EBEBFB6" w:rsidR="004A7D0F" w:rsidRPr="00E77192" w:rsidRDefault="004A7D0F" w:rsidP="007A31A8">
      <w:pPr>
        <w:pStyle w:val="FootnoteText"/>
        <w:ind w:left="567" w:hanging="567"/>
      </w:pPr>
      <w:r>
        <w:rPr>
          <w:rStyle w:val="FootnoteReference"/>
        </w:rPr>
        <w:footnoteRef/>
      </w:r>
      <w:r>
        <w:t xml:space="preserve"> </w:t>
      </w:r>
      <w:r>
        <w:tab/>
      </w:r>
      <w:hyperlink r:id="rId13" w:history="1">
        <w:r>
          <w:rPr>
            <w:rStyle w:val="Hyperlink"/>
          </w:rPr>
          <w:t>SL C 129, 11</w:t>
        </w:r>
        <w:r>
          <w:rPr>
            <w:rStyle w:val="Hyperlink"/>
          </w:rPr>
          <w:t>.4.2018., str. 44.</w:t>
        </w:r>
      </w:hyperlink>
      <w:r>
        <w:t xml:space="preserve"> i </w:t>
      </w:r>
      <w:hyperlink r:id="rId14" w:history="1">
        <w:r>
          <w:rPr>
            <w:rStyle w:val="Hyperlink"/>
          </w:rPr>
          <w:t>SL C 110</w:t>
        </w:r>
        <w:r>
          <w:rPr>
            <w:rStyle w:val="Hyperlink"/>
          </w:rPr>
          <w:t>, 22.3.2019., str. 26</w:t>
        </w:r>
      </w:hyperlink>
      <w:r>
        <w:t>.</w:t>
      </w:r>
    </w:p>
  </w:footnote>
  <w:footnote w:id="15">
    <w:p w14:paraId="3615B92A" w14:textId="77777777" w:rsidR="004A7D0F" w:rsidRPr="00E77192" w:rsidRDefault="004A7D0F" w:rsidP="007A31A8">
      <w:pPr>
        <w:pStyle w:val="FootnoteText"/>
        <w:ind w:left="567" w:hanging="567"/>
      </w:pPr>
      <w:r>
        <w:rPr>
          <w:rStyle w:val="FootnoteReference"/>
        </w:rPr>
        <w:footnoteRef/>
      </w:r>
      <w:r>
        <w:t xml:space="preserve"> </w:t>
      </w:r>
      <w:r>
        <w:tab/>
        <w:t>Govor gđe von der Leyen.</w:t>
      </w:r>
    </w:p>
  </w:footnote>
  <w:footnote w:id="16">
    <w:p w14:paraId="7A6D3FF2" w14:textId="61FC5E6E" w:rsidR="004A7D0F" w:rsidRPr="00E77192" w:rsidRDefault="004A7D0F" w:rsidP="007A31A8">
      <w:pPr>
        <w:pStyle w:val="FootnoteText"/>
        <w:ind w:left="567" w:hanging="567"/>
      </w:pPr>
      <w:r>
        <w:rPr>
          <w:rStyle w:val="FootnoteReference"/>
        </w:rPr>
        <w:footnoteRef/>
      </w:r>
      <w:r>
        <w:t xml:space="preserve"> </w:t>
      </w:r>
      <w:r>
        <w:tab/>
      </w:r>
      <w:hyperlink r:id="rId15" w:history="1">
        <w:r>
          <w:rPr>
            <w:rStyle w:val="Hyperlink"/>
          </w:rPr>
          <w:t>SL C 14, 1</w:t>
        </w:r>
        <w:r>
          <w:rPr>
            <w:rStyle w:val="Hyperlink"/>
          </w:rPr>
          <w:t>5.1.2020., str. 60</w:t>
        </w:r>
      </w:hyperlink>
      <w:r>
        <w:t>.</w:t>
      </w:r>
    </w:p>
  </w:footnote>
  <w:footnote w:id="17">
    <w:p w14:paraId="4C3B0FE3" w14:textId="00049872" w:rsidR="004A7D0F" w:rsidRPr="00E77192" w:rsidRDefault="004A7D0F" w:rsidP="007A31A8">
      <w:pPr>
        <w:pStyle w:val="FootnoteText"/>
        <w:ind w:left="567" w:hanging="567"/>
      </w:pPr>
      <w:r>
        <w:rPr>
          <w:rStyle w:val="FootnoteReference"/>
        </w:rPr>
        <w:footnoteRef/>
      </w:r>
      <w:r>
        <w:t xml:space="preserve"> </w:t>
      </w:r>
      <w:r>
        <w:tab/>
      </w:r>
      <w:hyperlink r:id="rId16" w:history="1">
        <w:r>
          <w:rPr>
            <w:rStyle w:val="Hyperlink"/>
          </w:rPr>
          <w:t>SL C 62, 15.2.2019</w:t>
        </w:r>
        <w:r>
          <w:rPr>
            <w:rStyle w:val="Hyperlink"/>
          </w:rPr>
          <w:t>., str. 142.</w:t>
        </w:r>
      </w:hyperlink>
    </w:p>
  </w:footnote>
  <w:footnote w:id="18">
    <w:p w14:paraId="18480F32" w14:textId="6F73515D" w:rsidR="00C57504" w:rsidRPr="00E77192" w:rsidRDefault="00C57504" w:rsidP="00CC355D">
      <w:pPr>
        <w:pStyle w:val="FootnoteText"/>
        <w:tabs>
          <w:tab w:val="left" w:pos="567"/>
        </w:tabs>
        <w:ind w:left="567" w:hanging="567"/>
      </w:pPr>
      <w:r>
        <w:rPr>
          <w:rStyle w:val="FootnoteReference"/>
        </w:rPr>
        <w:footnoteRef/>
      </w:r>
      <w:r>
        <w:tab/>
      </w:r>
      <w:hyperlink r:id="rId17" w:history="1">
        <w:r>
          <w:rPr>
            <w:rStyle w:val="Hyperlink"/>
          </w:rPr>
          <w:t>https://osha.europa.eu/sites/default/files/publications/documents/Work-related_MSDs_prevalence_costs_and_demographics_in_the_EU_report.pdf</w:t>
        </w:r>
      </w:hyperlink>
    </w:p>
  </w:footnote>
  <w:footnote w:id="19">
    <w:p w14:paraId="1F7BBA39" w14:textId="2F93166A" w:rsidR="004A7D0F" w:rsidRPr="00E77192" w:rsidRDefault="004A7D0F" w:rsidP="006D5FBA">
      <w:pPr>
        <w:pStyle w:val="FootnoteText"/>
        <w:ind w:left="567" w:hanging="567"/>
      </w:pPr>
      <w:r>
        <w:rPr>
          <w:rStyle w:val="FootnoteReference"/>
        </w:rPr>
        <w:footnoteRef/>
      </w:r>
      <w:r>
        <w:t xml:space="preserve"> </w:t>
      </w:r>
      <w:r>
        <w:tab/>
      </w:r>
      <w:hyperlink r:id="rId18" w:history="1">
        <w:r>
          <w:rPr>
            <w:rStyle w:val="Hyperlink"/>
          </w:rPr>
          <w:t>SL C 14, 15.1.2020</w:t>
        </w:r>
        <w:r>
          <w:rPr>
            <w:rStyle w:val="Hyperlink"/>
          </w:rPr>
          <w:t>., str. 60</w:t>
        </w:r>
      </w:hyperlink>
      <w:r>
        <w:t>.</w:t>
      </w:r>
    </w:p>
  </w:footnote>
  <w:footnote w:id="20">
    <w:p w14:paraId="68A3D401" w14:textId="3C5D3550" w:rsidR="00913AAE" w:rsidRPr="00B731D2" w:rsidRDefault="00913AAE" w:rsidP="0059608A">
      <w:pPr>
        <w:pStyle w:val="FootnoteText"/>
        <w:ind w:left="567" w:hanging="567"/>
      </w:pPr>
      <w:r>
        <w:rPr>
          <w:rStyle w:val="FootnoteReference"/>
        </w:rPr>
        <w:footnoteRef/>
      </w:r>
      <w:r>
        <w:t xml:space="preserve"> </w:t>
      </w:r>
      <w:r>
        <w:tab/>
      </w:r>
      <w:hyperlink r:id="rId19" w:history="1">
        <w:r>
          <w:rPr>
            <w:rStyle w:val="Hyperlink"/>
          </w:rPr>
          <w:t>SL C 110, 22.3.2</w:t>
        </w:r>
        <w:r>
          <w:rPr>
            <w:rStyle w:val="Hyperlink"/>
          </w:rPr>
          <w:t>019., str. 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5A1D" w14:textId="77777777" w:rsidR="007A31A8" w:rsidRPr="00344F3C" w:rsidRDefault="007A31A8" w:rsidP="00344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D703C" w14:textId="4074F2B8" w:rsidR="007A31A8" w:rsidRPr="00344F3C" w:rsidRDefault="007A31A8" w:rsidP="00344F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7AD0A" w14:textId="77777777" w:rsidR="007A31A8" w:rsidRPr="00344F3C" w:rsidRDefault="007A31A8" w:rsidP="00344F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D47B2E"/>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rPr>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10C3803"/>
    <w:multiLevelType w:val="hybridMultilevel"/>
    <w:tmpl w:val="2BACF18C"/>
    <w:lvl w:ilvl="0" w:tplc="7846AF8C">
      <w:start w:val="1"/>
      <w:numFmt w:val="bullet"/>
      <w:lvlRestart w:val="0"/>
      <w:lvlText w:val="-"/>
      <w:lvlJc w:val="left"/>
      <w:pPr>
        <w:tabs>
          <w:tab w:val="num" w:pos="726"/>
        </w:tabs>
        <w:ind w:left="1009" w:hanging="283"/>
      </w:pPr>
      <w:rPr>
        <w:rFonts w:ascii="Symbol" w:hAnsi="Symbol" w:hint="default"/>
        <w:b w:val="0"/>
        <w:i w:val="0"/>
        <w:sz w:val="22"/>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 w15:restartNumberingAfterBreak="0">
    <w:nsid w:val="288242A6"/>
    <w:multiLevelType w:val="multilevel"/>
    <w:tmpl w:val="B2D41A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2853B3C"/>
    <w:multiLevelType w:val="hybridMultilevel"/>
    <w:tmpl w:val="5026561A"/>
    <w:lvl w:ilvl="0" w:tplc="AC92DAEE">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0E59A3"/>
    <w:multiLevelType w:val="hybridMultilevel"/>
    <w:tmpl w:val="F9A85708"/>
    <w:lvl w:ilvl="0" w:tplc="CF44ED6A">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C8671B"/>
    <w:multiLevelType w:val="hybridMultilevel"/>
    <w:tmpl w:val="63E853E0"/>
    <w:lvl w:ilvl="0" w:tplc="FD147B88">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851191"/>
    <w:multiLevelType w:val="multilevel"/>
    <w:tmpl w:val="AB708E6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63B14D7E"/>
    <w:multiLevelType w:val="hybridMultilevel"/>
    <w:tmpl w:val="14961814"/>
    <w:lvl w:ilvl="0" w:tplc="4438A38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8">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6">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0">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7">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5">
    <w:abstractNumId w:val="2"/>
  </w:num>
  <w:num w:numId="66">
    <w:abstractNumId w:val="0"/>
  </w:num>
  <w:num w:numId="67">
    <w:abstractNumId w:val="0"/>
  </w:num>
  <w:num w:numId="68">
    <w:abstractNumId w:val="0"/>
  </w:num>
  <w:num w:numId="69">
    <w:abstractNumId w:val="0"/>
  </w:num>
  <w:num w:numId="70">
    <w:abstractNumId w:val="0"/>
  </w:num>
  <w:num w:numId="71">
    <w:abstractNumId w:val="6"/>
  </w:num>
  <w:num w:numId="72">
    <w:abstractNumId w:val="0"/>
    <w:lvlOverride w:ilvl="0">
      <w:startOverride w:val="1"/>
    </w:lvlOverride>
    <w:lvlOverride w:ilvl="1">
      <w:startOverride w:val="1"/>
    </w:lvlOverride>
  </w:num>
  <w:num w:numId="73">
    <w:abstractNumId w:val="0"/>
    <w:lvlOverride w:ilvl="0">
      <w:startOverride w:val="1"/>
    </w:lvlOverride>
    <w:lvlOverride w:ilvl="1">
      <w:startOverride w:val="4"/>
    </w:lvlOverride>
  </w:num>
  <w:num w:numId="74">
    <w:abstractNumId w:val="1"/>
  </w:num>
  <w:num w:numId="75">
    <w:abstractNumId w:val="7"/>
  </w:num>
  <w:num w:numId="76">
    <w:abstractNumId w:val="4"/>
  </w:num>
  <w:num w:numId="77">
    <w:abstractNumId w:val="5"/>
  </w:num>
  <w:num w:numId="78">
    <w:abstractNumId w:val="3"/>
  </w:num>
  <w:num w:numId="79">
    <w:abstractNumId w:val="0"/>
  </w:num>
  <w:num w:numId="80">
    <w:abstractNumId w:val="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GrammaticalErrors/>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567"/>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F8F"/>
    <w:rsid w:val="00004AAD"/>
    <w:rsid w:val="00005AB9"/>
    <w:rsid w:val="00005EB9"/>
    <w:rsid w:val="00006E24"/>
    <w:rsid w:val="00006F41"/>
    <w:rsid w:val="00007273"/>
    <w:rsid w:val="00007A40"/>
    <w:rsid w:val="00007D2C"/>
    <w:rsid w:val="000100C7"/>
    <w:rsid w:val="00011D33"/>
    <w:rsid w:val="00012011"/>
    <w:rsid w:val="0001215C"/>
    <w:rsid w:val="00013E32"/>
    <w:rsid w:val="00015D6C"/>
    <w:rsid w:val="00020E6E"/>
    <w:rsid w:val="00025E33"/>
    <w:rsid w:val="00026024"/>
    <w:rsid w:val="00031A4B"/>
    <w:rsid w:val="000325EB"/>
    <w:rsid w:val="00033913"/>
    <w:rsid w:val="00033E5B"/>
    <w:rsid w:val="000357A8"/>
    <w:rsid w:val="00040E81"/>
    <w:rsid w:val="00041873"/>
    <w:rsid w:val="000430A6"/>
    <w:rsid w:val="00044923"/>
    <w:rsid w:val="0005249C"/>
    <w:rsid w:val="000534A5"/>
    <w:rsid w:val="0005438B"/>
    <w:rsid w:val="00054893"/>
    <w:rsid w:val="00054F52"/>
    <w:rsid w:val="0005680D"/>
    <w:rsid w:val="00063FB4"/>
    <w:rsid w:val="00064492"/>
    <w:rsid w:val="0006578D"/>
    <w:rsid w:val="000673B3"/>
    <w:rsid w:val="0006793E"/>
    <w:rsid w:val="00070C25"/>
    <w:rsid w:val="00071E21"/>
    <w:rsid w:val="00072E0F"/>
    <w:rsid w:val="000735E5"/>
    <w:rsid w:val="0007392F"/>
    <w:rsid w:val="00084F73"/>
    <w:rsid w:val="00087B39"/>
    <w:rsid w:val="00092961"/>
    <w:rsid w:val="00096502"/>
    <w:rsid w:val="000A216E"/>
    <w:rsid w:val="000A49BB"/>
    <w:rsid w:val="000A52E8"/>
    <w:rsid w:val="000B08C0"/>
    <w:rsid w:val="000C3441"/>
    <w:rsid w:val="000C693B"/>
    <w:rsid w:val="000C7625"/>
    <w:rsid w:val="000C7F53"/>
    <w:rsid w:val="000D26C2"/>
    <w:rsid w:val="000D2F8E"/>
    <w:rsid w:val="000D73CC"/>
    <w:rsid w:val="000E12B4"/>
    <w:rsid w:val="000E6A87"/>
    <w:rsid w:val="000F196B"/>
    <w:rsid w:val="000F4CCC"/>
    <w:rsid w:val="000F5BB9"/>
    <w:rsid w:val="00105361"/>
    <w:rsid w:val="001101F8"/>
    <w:rsid w:val="0011206F"/>
    <w:rsid w:val="0011656A"/>
    <w:rsid w:val="0012220C"/>
    <w:rsid w:val="00123645"/>
    <w:rsid w:val="00130E90"/>
    <w:rsid w:val="00136EA3"/>
    <w:rsid w:val="00137575"/>
    <w:rsid w:val="00141572"/>
    <w:rsid w:val="00144231"/>
    <w:rsid w:val="00145DE9"/>
    <w:rsid w:val="00146FC3"/>
    <w:rsid w:val="00150434"/>
    <w:rsid w:val="00155721"/>
    <w:rsid w:val="0016503F"/>
    <w:rsid w:val="00165DEE"/>
    <w:rsid w:val="0016674F"/>
    <w:rsid w:val="00167CA0"/>
    <w:rsid w:val="0017120D"/>
    <w:rsid w:val="001714F6"/>
    <w:rsid w:val="00176168"/>
    <w:rsid w:val="00177158"/>
    <w:rsid w:val="001808A5"/>
    <w:rsid w:val="0018318B"/>
    <w:rsid w:val="00184FD4"/>
    <w:rsid w:val="00186B04"/>
    <w:rsid w:val="00186F1E"/>
    <w:rsid w:val="00190836"/>
    <w:rsid w:val="00193930"/>
    <w:rsid w:val="001963A5"/>
    <w:rsid w:val="00196F1E"/>
    <w:rsid w:val="00197FCA"/>
    <w:rsid w:val="001A27DB"/>
    <w:rsid w:val="001A6852"/>
    <w:rsid w:val="001B286A"/>
    <w:rsid w:val="001B2D02"/>
    <w:rsid w:val="001B3647"/>
    <w:rsid w:val="001B77FA"/>
    <w:rsid w:val="001C0ABE"/>
    <w:rsid w:val="001C3082"/>
    <w:rsid w:val="001C5852"/>
    <w:rsid w:val="001C5B91"/>
    <w:rsid w:val="001D45F0"/>
    <w:rsid w:val="001E439E"/>
    <w:rsid w:val="001E4A33"/>
    <w:rsid w:val="001E5C27"/>
    <w:rsid w:val="001F2C5D"/>
    <w:rsid w:val="001F602B"/>
    <w:rsid w:val="001F6AC8"/>
    <w:rsid w:val="002037D5"/>
    <w:rsid w:val="00206F90"/>
    <w:rsid w:val="00212B03"/>
    <w:rsid w:val="00212FBD"/>
    <w:rsid w:val="002131AE"/>
    <w:rsid w:val="002136B1"/>
    <w:rsid w:val="00215C10"/>
    <w:rsid w:val="00215C2D"/>
    <w:rsid w:val="0022103D"/>
    <w:rsid w:val="00222DDA"/>
    <w:rsid w:val="002252C4"/>
    <w:rsid w:val="002265BF"/>
    <w:rsid w:val="0023183E"/>
    <w:rsid w:val="00235138"/>
    <w:rsid w:val="002362F3"/>
    <w:rsid w:val="002426EC"/>
    <w:rsid w:val="00242DCB"/>
    <w:rsid w:val="00243E36"/>
    <w:rsid w:val="0024540B"/>
    <w:rsid w:val="00245EF4"/>
    <w:rsid w:val="00250E11"/>
    <w:rsid w:val="00251383"/>
    <w:rsid w:val="00251935"/>
    <w:rsid w:val="002522C9"/>
    <w:rsid w:val="00252A21"/>
    <w:rsid w:val="00252C48"/>
    <w:rsid w:val="00253E4F"/>
    <w:rsid w:val="002542E4"/>
    <w:rsid w:val="002561A5"/>
    <w:rsid w:val="00261053"/>
    <w:rsid w:val="00262FDE"/>
    <w:rsid w:val="00263629"/>
    <w:rsid w:val="002726E8"/>
    <w:rsid w:val="00273CDC"/>
    <w:rsid w:val="002769BD"/>
    <w:rsid w:val="00276A75"/>
    <w:rsid w:val="002809EA"/>
    <w:rsid w:val="00284962"/>
    <w:rsid w:val="00287B0E"/>
    <w:rsid w:val="00287CC0"/>
    <w:rsid w:val="002901B2"/>
    <w:rsid w:val="00294A56"/>
    <w:rsid w:val="00295801"/>
    <w:rsid w:val="002A0B53"/>
    <w:rsid w:val="002A0EEF"/>
    <w:rsid w:val="002A602D"/>
    <w:rsid w:val="002B2DF7"/>
    <w:rsid w:val="002C2649"/>
    <w:rsid w:val="002C3BF4"/>
    <w:rsid w:val="002C586A"/>
    <w:rsid w:val="002C749F"/>
    <w:rsid w:val="002D1723"/>
    <w:rsid w:val="002E377E"/>
    <w:rsid w:val="002E7B33"/>
    <w:rsid w:val="002F059B"/>
    <w:rsid w:val="002F5B0B"/>
    <w:rsid w:val="00300924"/>
    <w:rsid w:val="0030596E"/>
    <w:rsid w:val="003063AD"/>
    <w:rsid w:val="003073C3"/>
    <w:rsid w:val="00323637"/>
    <w:rsid w:val="00324E8A"/>
    <w:rsid w:val="003301E5"/>
    <w:rsid w:val="00331D87"/>
    <w:rsid w:val="00332850"/>
    <w:rsid w:val="00334478"/>
    <w:rsid w:val="003346B4"/>
    <w:rsid w:val="00334AE6"/>
    <w:rsid w:val="003359AC"/>
    <w:rsid w:val="003365D0"/>
    <w:rsid w:val="00341597"/>
    <w:rsid w:val="003439AB"/>
    <w:rsid w:val="00344F3C"/>
    <w:rsid w:val="0035034C"/>
    <w:rsid w:val="00354695"/>
    <w:rsid w:val="0035549B"/>
    <w:rsid w:val="00372135"/>
    <w:rsid w:val="003755C8"/>
    <w:rsid w:val="00375687"/>
    <w:rsid w:val="00380AE0"/>
    <w:rsid w:val="003812A0"/>
    <w:rsid w:val="00383324"/>
    <w:rsid w:val="0038606B"/>
    <w:rsid w:val="00387A75"/>
    <w:rsid w:val="003904FD"/>
    <w:rsid w:val="00390BD5"/>
    <w:rsid w:val="00394254"/>
    <w:rsid w:val="00396582"/>
    <w:rsid w:val="003A6C5B"/>
    <w:rsid w:val="003B78C3"/>
    <w:rsid w:val="003C2BFB"/>
    <w:rsid w:val="003C3FCC"/>
    <w:rsid w:val="003C436B"/>
    <w:rsid w:val="003C5337"/>
    <w:rsid w:val="003C5F92"/>
    <w:rsid w:val="003C69BE"/>
    <w:rsid w:val="003C7793"/>
    <w:rsid w:val="003D7A8C"/>
    <w:rsid w:val="003D7C00"/>
    <w:rsid w:val="003E0E86"/>
    <w:rsid w:val="003E56E5"/>
    <w:rsid w:val="003E726F"/>
    <w:rsid w:val="003E7E60"/>
    <w:rsid w:val="003F00D4"/>
    <w:rsid w:val="003F2209"/>
    <w:rsid w:val="003F3D39"/>
    <w:rsid w:val="003F646A"/>
    <w:rsid w:val="003F6761"/>
    <w:rsid w:val="003F6A0A"/>
    <w:rsid w:val="004024F5"/>
    <w:rsid w:val="00402DE1"/>
    <w:rsid w:val="00403D8B"/>
    <w:rsid w:val="0040586B"/>
    <w:rsid w:val="004058F1"/>
    <w:rsid w:val="00407E7D"/>
    <w:rsid w:val="00410230"/>
    <w:rsid w:val="0041283D"/>
    <w:rsid w:val="00413AB4"/>
    <w:rsid w:val="00421373"/>
    <w:rsid w:val="00421FB7"/>
    <w:rsid w:val="0042763B"/>
    <w:rsid w:val="00427811"/>
    <w:rsid w:val="0043024C"/>
    <w:rsid w:val="00436706"/>
    <w:rsid w:val="00443D38"/>
    <w:rsid w:val="00450E7A"/>
    <w:rsid w:val="00455970"/>
    <w:rsid w:val="00456AF8"/>
    <w:rsid w:val="0046159F"/>
    <w:rsid w:val="0046673E"/>
    <w:rsid w:val="00470B15"/>
    <w:rsid w:val="00475869"/>
    <w:rsid w:val="00475A77"/>
    <w:rsid w:val="004866A9"/>
    <w:rsid w:val="00492774"/>
    <w:rsid w:val="00495547"/>
    <w:rsid w:val="00496765"/>
    <w:rsid w:val="00496D7A"/>
    <w:rsid w:val="004A2B6D"/>
    <w:rsid w:val="004A31BC"/>
    <w:rsid w:val="004A3F1A"/>
    <w:rsid w:val="004A3F45"/>
    <w:rsid w:val="004A7D0F"/>
    <w:rsid w:val="004B1AFA"/>
    <w:rsid w:val="004B7088"/>
    <w:rsid w:val="004C0465"/>
    <w:rsid w:val="004C4D12"/>
    <w:rsid w:val="004C5B76"/>
    <w:rsid w:val="004D02CD"/>
    <w:rsid w:val="004D0B24"/>
    <w:rsid w:val="004D3AFB"/>
    <w:rsid w:val="004D4B90"/>
    <w:rsid w:val="004D6B95"/>
    <w:rsid w:val="004D7F41"/>
    <w:rsid w:val="004E03A2"/>
    <w:rsid w:val="004E317E"/>
    <w:rsid w:val="004E3954"/>
    <w:rsid w:val="004E4E9E"/>
    <w:rsid w:val="004E5856"/>
    <w:rsid w:val="004E70D8"/>
    <w:rsid w:val="004F2330"/>
    <w:rsid w:val="004F53C6"/>
    <w:rsid w:val="004F55C6"/>
    <w:rsid w:val="004F69DB"/>
    <w:rsid w:val="004F6B87"/>
    <w:rsid w:val="00501C2D"/>
    <w:rsid w:val="00502637"/>
    <w:rsid w:val="00511140"/>
    <w:rsid w:val="00513CFE"/>
    <w:rsid w:val="005209D4"/>
    <w:rsid w:val="00520F09"/>
    <w:rsid w:val="005211DB"/>
    <w:rsid w:val="005222DD"/>
    <w:rsid w:val="00523B6A"/>
    <w:rsid w:val="00525F6C"/>
    <w:rsid w:val="00527ACB"/>
    <w:rsid w:val="00546AB4"/>
    <w:rsid w:val="005514E5"/>
    <w:rsid w:val="00552A94"/>
    <w:rsid w:val="005565AC"/>
    <w:rsid w:val="005607DC"/>
    <w:rsid w:val="00563C84"/>
    <w:rsid w:val="005762F6"/>
    <w:rsid w:val="0058469D"/>
    <w:rsid w:val="00584FBE"/>
    <w:rsid w:val="00585483"/>
    <w:rsid w:val="00587378"/>
    <w:rsid w:val="00587C05"/>
    <w:rsid w:val="00590AAB"/>
    <w:rsid w:val="005938C3"/>
    <w:rsid w:val="0059468C"/>
    <w:rsid w:val="00595125"/>
    <w:rsid w:val="0059608A"/>
    <w:rsid w:val="00596F21"/>
    <w:rsid w:val="005A21AB"/>
    <w:rsid w:val="005B1CDD"/>
    <w:rsid w:val="005B1E19"/>
    <w:rsid w:val="005B33B5"/>
    <w:rsid w:val="005B5244"/>
    <w:rsid w:val="005B55FC"/>
    <w:rsid w:val="005C2D5E"/>
    <w:rsid w:val="005C3B81"/>
    <w:rsid w:val="005C650C"/>
    <w:rsid w:val="005D086C"/>
    <w:rsid w:val="005D11B6"/>
    <w:rsid w:val="005D11D3"/>
    <w:rsid w:val="005D18F2"/>
    <w:rsid w:val="005D4E1F"/>
    <w:rsid w:val="005D4FB3"/>
    <w:rsid w:val="005D71AF"/>
    <w:rsid w:val="005E09C6"/>
    <w:rsid w:val="005E2F07"/>
    <w:rsid w:val="005E2FEA"/>
    <w:rsid w:val="005F2AF5"/>
    <w:rsid w:val="005F314B"/>
    <w:rsid w:val="00611AF2"/>
    <w:rsid w:val="0061212B"/>
    <w:rsid w:val="006127AF"/>
    <w:rsid w:val="00613A98"/>
    <w:rsid w:val="00615FB2"/>
    <w:rsid w:val="00617BD1"/>
    <w:rsid w:val="00617CE8"/>
    <w:rsid w:val="00622153"/>
    <w:rsid w:val="0062777F"/>
    <w:rsid w:val="006278A0"/>
    <w:rsid w:val="0063095F"/>
    <w:rsid w:val="00631CBD"/>
    <w:rsid w:val="0063704F"/>
    <w:rsid w:val="00646AC2"/>
    <w:rsid w:val="00650390"/>
    <w:rsid w:val="006517B1"/>
    <w:rsid w:val="00651ED1"/>
    <w:rsid w:val="006525CF"/>
    <w:rsid w:val="00653E41"/>
    <w:rsid w:val="00654DAB"/>
    <w:rsid w:val="0066204A"/>
    <w:rsid w:val="00666040"/>
    <w:rsid w:val="00670E3C"/>
    <w:rsid w:val="006742A3"/>
    <w:rsid w:val="006763CD"/>
    <w:rsid w:val="00677F57"/>
    <w:rsid w:val="00681088"/>
    <w:rsid w:val="0069026A"/>
    <w:rsid w:val="006923E9"/>
    <w:rsid w:val="0069577E"/>
    <w:rsid w:val="0069634B"/>
    <w:rsid w:val="00696623"/>
    <w:rsid w:val="006A04E9"/>
    <w:rsid w:val="006A4A03"/>
    <w:rsid w:val="006A7543"/>
    <w:rsid w:val="006B725C"/>
    <w:rsid w:val="006C273D"/>
    <w:rsid w:val="006C5C4F"/>
    <w:rsid w:val="006C6282"/>
    <w:rsid w:val="006C762A"/>
    <w:rsid w:val="006D4D6B"/>
    <w:rsid w:val="006D5FBA"/>
    <w:rsid w:val="006D5FF9"/>
    <w:rsid w:val="006E0772"/>
    <w:rsid w:val="006E0F86"/>
    <w:rsid w:val="006E7E66"/>
    <w:rsid w:val="006F0B15"/>
    <w:rsid w:val="006F0DCC"/>
    <w:rsid w:val="00703DF9"/>
    <w:rsid w:val="007048EB"/>
    <w:rsid w:val="00704FBB"/>
    <w:rsid w:val="00705C14"/>
    <w:rsid w:val="0070726A"/>
    <w:rsid w:val="0071226B"/>
    <w:rsid w:val="00717040"/>
    <w:rsid w:val="00735131"/>
    <w:rsid w:val="0074759E"/>
    <w:rsid w:val="00760A8F"/>
    <w:rsid w:val="007622A7"/>
    <w:rsid w:val="00766C28"/>
    <w:rsid w:val="007750A2"/>
    <w:rsid w:val="00777E8A"/>
    <w:rsid w:val="00780E5A"/>
    <w:rsid w:val="007817D6"/>
    <w:rsid w:val="00781E1C"/>
    <w:rsid w:val="00782360"/>
    <w:rsid w:val="00785C0F"/>
    <w:rsid w:val="00787271"/>
    <w:rsid w:val="00787912"/>
    <w:rsid w:val="0079177A"/>
    <w:rsid w:val="00794836"/>
    <w:rsid w:val="007948D5"/>
    <w:rsid w:val="00797E4E"/>
    <w:rsid w:val="007A15C9"/>
    <w:rsid w:val="007A1F10"/>
    <w:rsid w:val="007A2014"/>
    <w:rsid w:val="007A31A8"/>
    <w:rsid w:val="007A44B2"/>
    <w:rsid w:val="007A6676"/>
    <w:rsid w:val="007A6EF6"/>
    <w:rsid w:val="007B7701"/>
    <w:rsid w:val="007B7FF5"/>
    <w:rsid w:val="007C3FC6"/>
    <w:rsid w:val="007D2CE9"/>
    <w:rsid w:val="007D4FED"/>
    <w:rsid w:val="007D541A"/>
    <w:rsid w:val="007D69DA"/>
    <w:rsid w:val="007D6D15"/>
    <w:rsid w:val="007D70B1"/>
    <w:rsid w:val="007D7140"/>
    <w:rsid w:val="007E1CDB"/>
    <w:rsid w:val="007E408C"/>
    <w:rsid w:val="007E7E21"/>
    <w:rsid w:val="007F0460"/>
    <w:rsid w:val="007F0DA2"/>
    <w:rsid w:val="007F39CE"/>
    <w:rsid w:val="007F5E0D"/>
    <w:rsid w:val="00801085"/>
    <w:rsid w:val="00801A89"/>
    <w:rsid w:val="008053E9"/>
    <w:rsid w:val="00812138"/>
    <w:rsid w:val="008151F2"/>
    <w:rsid w:val="0081777A"/>
    <w:rsid w:val="008210E0"/>
    <w:rsid w:val="00824079"/>
    <w:rsid w:val="008318CE"/>
    <w:rsid w:val="00831F0A"/>
    <w:rsid w:val="00833A78"/>
    <w:rsid w:val="0083492E"/>
    <w:rsid w:val="008452F0"/>
    <w:rsid w:val="0084585F"/>
    <w:rsid w:val="00845C6D"/>
    <w:rsid w:val="0085225E"/>
    <w:rsid w:val="00853E53"/>
    <w:rsid w:val="0085535C"/>
    <w:rsid w:val="00864D76"/>
    <w:rsid w:val="008656C9"/>
    <w:rsid w:val="00865821"/>
    <w:rsid w:val="0086711C"/>
    <w:rsid w:val="00867535"/>
    <w:rsid w:val="008711A8"/>
    <w:rsid w:val="00871710"/>
    <w:rsid w:val="0087393A"/>
    <w:rsid w:val="00875C5B"/>
    <w:rsid w:val="0087720F"/>
    <w:rsid w:val="00880CA4"/>
    <w:rsid w:val="00883C5F"/>
    <w:rsid w:val="008854DA"/>
    <w:rsid w:val="00890BC6"/>
    <w:rsid w:val="00890F6D"/>
    <w:rsid w:val="00891C7D"/>
    <w:rsid w:val="00892FA7"/>
    <w:rsid w:val="0089638B"/>
    <w:rsid w:val="008A2E70"/>
    <w:rsid w:val="008A3301"/>
    <w:rsid w:val="008A4DF1"/>
    <w:rsid w:val="008A5636"/>
    <w:rsid w:val="008B125E"/>
    <w:rsid w:val="008B241C"/>
    <w:rsid w:val="008B2A27"/>
    <w:rsid w:val="008B408B"/>
    <w:rsid w:val="008B4F11"/>
    <w:rsid w:val="008C2362"/>
    <w:rsid w:val="008C2557"/>
    <w:rsid w:val="008C2AE1"/>
    <w:rsid w:val="008C2FD9"/>
    <w:rsid w:val="008C3049"/>
    <w:rsid w:val="008C626F"/>
    <w:rsid w:val="008C66FF"/>
    <w:rsid w:val="008D4AE9"/>
    <w:rsid w:val="008D5CF3"/>
    <w:rsid w:val="008D7D39"/>
    <w:rsid w:val="008E4574"/>
    <w:rsid w:val="008F4016"/>
    <w:rsid w:val="008F42FE"/>
    <w:rsid w:val="008F4A00"/>
    <w:rsid w:val="008F5402"/>
    <w:rsid w:val="0090053A"/>
    <w:rsid w:val="00901C2A"/>
    <w:rsid w:val="009118C7"/>
    <w:rsid w:val="00912ABC"/>
    <w:rsid w:val="00913AAE"/>
    <w:rsid w:val="00914B00"/>
    <w:rsid w:val="009225B6"/>
    <w:rsid w:val="00925397"/>
    <w:rsid w:val="00933A21"/>
    <w:rsid w:val="00934C10"/>
    <w:rsid w:val="0093662A"/>
    <w:rsid w:val="009375CD"/>
    <w:rsid w:val="0094060C"/>
    <w:rsid w:val="00942C4B"/>
    <w:rsid w:val="00944196"/>
    <w:rsid w:val="009532DF"/>
    <w:rsid w:val="009606A5"/>
    <w:rsid w:val="00962F1F"/>
    <w:rsid w:val="00965304"/>
    <w:rsid w:val="0097109F"/>
    <w:rsid w:val="00971293"/>
    <w:rsid w:val="00973A3B"/>
    <w:rsid w:val="009750B6"/>
    <w:rsid w:val="00981736"/>
    <w:rsid w:val="00983EAE"/>
    <w:rsid w:val="00985CB3"/>
    <w:rsid w:val="0098760B"/>
    <w:rsid w:val="009929A3"/>
    <w:rsid w:val="009947DF"/>
    <w:rsid w:val="009A00B3"/>
    <w:rsid w:val="009A11DD"/>
    <w:rsid w:val="009B15FC"/>
    <w:rsid w:val="009B30AA"/>
    <w:rsid w:val="009B4F17"/>
    <w:rsid w:val="009B510D"/>
    <w:rsid w:val="009B5217"/>
    <w:rsid w:val="009B6FCE"/>
    <w:rsid w:val="009C48DE"/>
    <w:rsid w:val="009D60D9"/>
    <w:rsid w:val="009E01CE"/>
    <w:rsid w:val="009E06F0"/>
    <w:rsid w:val="009E0828"/>
    <w:rsid w:val="009E15C0"/>
    <w:rsid w:val="009E1E1E"/>
    <w:rsid w:val="009E33E3"/>
    <w:rsid w:val="009E431D"/>
    <w:rsid w:val="009E7F16"/>
    <w:rsid w:val="009F5052"/>
    <w:rsid w:val="00A02F20"/>
    <w:rsid w:val="00A03083"/>
    <w:rsid w:val="00A04C85"/>
    <w:rsid w:val="00A100F0"/>
    <w:rsid w:val="00A156E6"/>
    <w:rsid w:val="00A177C5"/>
    <w:rsid w:val="00A21FB6"/>
    <w:rsid w:val="00A22B91"/>
    <w:rsid w:val="00A27D86"/>
    <w:rsid w:val="00A303E1"/>
    <w:rsid w:val="00A30A3D"/>
    <w:rsid w:val="00A33151"/>
    <w:rsid w:val="00A36970"/>
    <w:rsid w:val="00A41EB4"/>
    <w:rsid w:val="00A425E1"/>
    <w:rsid w:val="00A44BFF"/>
    <w:rsid w:val="00A501E3"/>
    <w:rsid w:val="00A50F0C"/>
    <w:rsid w:val="00A56441"/>
    <w:rsid w:val="00A56457"/>
    <w:rsid w:val="00A645AC"/>
    <w:rsid w:val="00A736DD"/>
    <w:rsid w:val="00A76DC3"/>
    <w:rsid w:val="00A82869"/>
    <w:rsid w:val="00A8758C"/>
    <w:rsid w:val="00A9091B"/>
    <w:rsid w:val="00A9271C"/>
    <w:rsid w:val="00AA127E"/>
    <w:rsid w:val="00AA19AE"/>
    <w:rsid w:val="00AA3B79"/>
    <w:rsid w:val="00AA423D"/>
    <w:rsid w:val="00AA6A95"/>
    <w:rsid w:val="00AB10DE"/>
    <w:rsid w:val="00AB3668"/>
    <w:rsid w:val="00AB5ED7"/>
    <w:rsid w:val="00AC0B4C"/>
    <w:rsid w:val="00AD03B4"/>
    <w:rsid w:val="00AD0AEE"/>
    <w:rsid w:val="00AD49E3"/>
    <w:rsid w:val="00AD4B4F"/>
    <w:rsid w:val="00AD5B10"/>
    <w:rsid w:val="00AF0616"/>
    <w:rsid w:val="00AF0E28"/>
    <w:rsid w:val="00AF6F9B"/>
    <w:rsid w:val="00B01409"/>
    <w:rsid w:val="00B02CDC"/>
    <w:rsid w:val="00B03CF4"/>
    <w:rsid w:val="00B059A8"/>
    <w:rsid w:val="00B10DBD"/>
    <w:rsid w:val="00B15629"/>
    <w:rsid w:val="00B17E7D"/>
    <w:rsid w:val="00B234BC"/>
    <w:rsid w:val="00B2372C"/>
    <w:rsid w:val="00B278F8"/>
    <w:rsid w:val="00B32F70"/>
    <w:rsid w:val="00B36934"/>
    <w:rsid w:val="00B373D0"/>
    <w:rsid w:val="00B43AAA"/>
    <w:rsid w:val="00B4471E"/>
    <w:rsid w:val="00B53139"/>
    <w:rsid w:val="00B55244"/>
    <w:rsid w:val="00B562CE"/>
    <w:rsid w:val="00B61315"/>
    <w:rsid w:val="00B62DE2"/>
    <w:rsid w:val="00B67CFA"/>
    <w:rsid w:val="00B70B5F"/>
    <w:rsid w:val="00B731D2"/>
    <w:rsid w:val="00B73E58"/>
    <w:rsid w:val="00B74417"/>
    <w:rsid w:val="00B77246"/>
    <w:rsid w:val="00B77DFC"/>
    <w:rsid w:val="00B866CD"/>
    <w:rsid w:val="00B90B26"/>
    <w:rsid w:val="00B93034"/>
    <w:rsid w:val="00B97C5D"/>
    <w:rsid w:val="00BA1290"/>
    <w:rsid w:val="00BB2792"/>
    <w:rsid w:val="00BB76BF"/>
    <w:rsid w:val="00BB7C6C"/>
    <w:rsid w:val="00BC0945"/>
    <w:rsid w:val="00BC1AD1"/>
    <w:rsid w:val="00BC208F"/>
    <w:rsid w:val="00BC4A58"/>
    <w:rsid w:val="00BC613B"/>
    <w:rsid w:val="00BC6F1F"/>
    <w:rsid w:val="00BD46EF"/>
    <w:rsid w:val="00BD51D9"/>
    <w:rsid w:val="00BD6496"/>
    <w:rsid w:val="00BD64E2"/>
    <w:rsid w:val="00BD695E"/>
    <w:rsid w:val="00BE4995"/>
    <w:rsid w:val="00BF1BF8"/>
    <w:rsid w:val="00BF429A"/>
    <w:rsid w:val="00BF62BE"/>
    <w:rsid w:val="00BF7B57"/>
    <w:rsid w:val="00C063D4"/>
    <w:rsid w:val="00C07126"/>
    <w:rsid w:val="00C071C7"/>
    <w:rsid w:val="00C15C28"/>
    <w:rsid w:val="00C16853"/>
    <w:rsid w:val="00C174C0"/>
    <w:rsid w:val="00C26101"/>
    <w:rsid w:val="00C263F0"/>
    <w:rsid w:val="00C33D41"/>
    <w:rsid w:val="00C34271"/>
    <w:rsid w:val="00C40AFD"/>
    <w:rsid w:val="00C41E20"/>
    <w:rsid w:val="00C42E3E"/>
    <w:rsid w:val="00C443FA"/>
    <w:rsid w:val="00C445CB"/>
    <w:rsid w:val="00C51C13"/>
    <w:rsid w:val="00C525A5"/>
    <w:rsid w:val="00C5300F"/>
    <w:rsid w:val="00C54594"/>
    <w:rsid w:val="00C57504"/>
    <w:rsid w:val="00C6683E"/>
    <w:rsid w:val="00C66CE0"/>
    <w:rsid w:val="00C71BED"/>
    <w:rsid w:val="00C737B2"/>
    <w:rsid w:val="00C81B53"/>
    <w:rsid w:val="00C82AD2"/>
    <w:rsid w:val="00C84B88"/>
    <w:rsid w:val="00C90FB6"/>
    <w:rsid w:val="00C914AD"/>
    <w:rsid w:val="00C9220E"/>
    <w:rsid w:val="00C932BD"/>
    <w:rsid w:val="00C93429"/>
    <w:rsid w:val="00C93CFD"/>
    <w:rsid w:val="00CA05F9"/>
    <w:rsid w:val="00CA16C5"/>
    <w:rsid w:val="00CA3280"/>
    <w:rsid w:val="00CA415A"/>
    <w:rsid w:val="00CA45F5"/>
    <w:rsid w:val="00CA7A35"/>
    <w:rsid w:val="00CB1536"/>
    <w:rsid w:val="00CB4EA9"/>
    <w:rsid w:val="00CB7FB8"/>
    <w:rsid w:val="00CC1920"/>
    <w:rsid w:val="00CC1F71"/>
    <w:rsid w:val="00CC355D"/>
    <w:rsid w:val="00CC3D76"/>
    <w:rsid w:val="00CC5588"/>
    <w:rsid w:val="00CC5EB3"/>
    <w:rsid w:val="00CD0A2F"/>
    <w:rsid w:val="00CD0E7B"/>
    <w:rsid w:val="00CD2ABD"/>
    <w:rsid w:val="00CD4024"/>
    <w:rsid w:val="00CD4617"/>
    <w:rsid w:val="00CD4855"/>
    <w:rsid w:val="00CE66B2"/>
    <w:rsid w:val="00CE6B16"/>
    <w:rsid w:val="00CE6D43"/>
    <w:rsid w:val="00CE7888"/>
    <w:rsid w:val="00D00B0E"/>
    <w:rsid w:val="00D056C3"/>
    <w:rsid w:val="00D10E1C"/>
    <w:rsid w:val="00D161A3"/>
    <w:rsid w:val="00D2105B"/>
    <w:rsid w:val="00D22E49"/>
    <w:rsid w:val="00D23222"/>
    <w:rsid w:val="00D23716"/>
    <w:rsid w:val="00D25ED8"/>
    <w:rsid w:val="00D27F8F"/>
    <w:rsid w:val="00D316B8"/>
    <w:rsid w:val="00D31CFC"/>
    <w:rsid w:val="00D3255D"/>
    <w:rsid w:val="00D327EB"/>
    <w:rsid w:val="00D32E97"/>
    <w:rsid w:val="00D340C3"/>
    <w:rsid w:val="00D409CD"/>
    <w:rsid w:val="00D423D4"/>
    <w:rsid w:val="00D42C22"/>
    <w:rsid w:val="00D42CAF"/>
    <w:rsid w:val="00D4769E"/>
    <w:rsid w:val="00D50310"/>
    <w:rsid w:val="00D5310F"/>
    <w:rsid w:val="00D601EF"/>
    <w:rsid w:val="00D61533"/>
    <w:rsid w:val="00D631D2"/>
    <w:rsid w:val="00D63B2F"/>
    <w:rsid w:val="00D65CA9"/>
    <w:rsid w:val="00D70747"/>
    <w:rsid w:val="00D7261D"/>
    <w:rsid w:val="00D74091"/>
    <w:rsid w:val="00D755FC"/>
    <w:rsid w:val="00D7585B"/>
    <w:rsid w:val="00D76B6D"/>
    <w:rsid w:val="00D84D07"/>
    <w:rsid w:val="00D8526A"/>
    <w:rsid w:val="00D90E91"/>
    <w:rsid w:val="00D957C0"/>
    <w:rsid w:val="00D959AC"/>
    <w:rsid w:val="00DA08B8"/>
    <w:rsid w:val="00DB60E1"/>
    <w:rsid w:val="00DB63AA"/>
    <w:rsid w:val="00DC11ED"/>
    <w:rsid w:val="00DC1347"/>
    <w:rsid w:val="00DC31E6"/>
    <w:rsid w:val="00DC39F1"/>
    <w:rsid w:val="00DD65E3"/>
    <w:rsid w:val="00DD7603"/>
    <w:rsid w:val="00DE1C6D"/>
    <w:rsid w:val="00DE4B35"/>
    <w:rsid w:val="00DF19C1"/>
    <w:rsid w:val="00DF1E98"/>
    <w:rsid w:val="00DF2AF4"/>
    <w:rsid w:val="00DF54CA"/>
    <w:rsid w:val="00DF56C9"/>
    <w:rsid w:val="00DF5B64"/>
    <w:rsid w:val="00DF6D92"/>
    <w:rsid w:val="00E00C79"/>
    <w:rsid w:val="00E02794"/>
    <w:rsid w:val="00E043E3"/>
    <w:rsid w:val="00E0505B"/>
    <w:rsid w:val="00E11280"/>
    <w:rsid w:val="00E12359"/>
    <w:rsid w:val="00E135A2"/>
    <w:rsid w:val="00E152FF"/>
    <w:rsid w:val="00E23A11"/>
    <w:rsid w:val="00E23B2E"/>
    <w:rsid w:val="00E24226"/>
    <w:rsid w:val="00E2461B"/>
    <w:rsid w:val="00E24886"/>
    <w:rsid w:val="00E276FB"/>
    <w:rsid w:val="00E32595"/>
    <w:rsid w:val="00E32DC6"/>
    <w:rsid w:val="00E33A74"/>
    <w:rsid w:val="00E4030B"/>
    <w:rsid w:val="00E41750"/>
    <w:rsid w:val="00E41D56"/>
    <w:rsid w:val="00E457DF"/>
    <w:rsid w:val="00E46642"/>
    <w:rsid w:val="00E50659"/>
    <w:rsid w:val="00E5139A"/>
    <w:rsid w:val="00E5413D"/>
    <w:rsid w:val="00E57977"/>
    <w:rsid w:val="00E61807"/>
    <w:rsid w:val="00E635D7"/>
    <w:rsid w:val="00E64491"/>
    <w:rsid w:val="00E6792A"/>
    <w:rsid w:val="00E70576"/>
    <w:rsid w:val="00E71DED"/>
    <w:rsid w:val="00E77192"/>
    <w:rsid w:val="00E83954"/>
    <w:rsid w:val="00E86574"/>
    <w:rsid w:val="00E91730"/>
    <w:rsid w:val="00E95139"/>
    <w:rsid w:val="00E96F04"/>
    <w:rsid w:val="00E97AEC"/>
    <w:rsid w:val="00EA1787"/>
    <w:rsid w:val="00EA20FE"/>
    <w:rsid w:val="00EB0A91"/>
    <w:rsid w:val="00EB491E"/>
    <w:rsid w:val="00EB681B"/>
    <w:rsid w:val="00EC1046"/>
    <w:rsid w:val="00EC4FAD"/>
    <w:rsid w:val="00EE3CFA"/>
    <w:rsid w:val="00EE4058"/>
    <w:rsid w:val="00EE69E4"/>
    <w:rsid w:val="00EF192E"/>
    <w:rsid w:val="00EF2A7F"/>
    <w:rsid w:val="00EF7C7D"/>
    <w:rsid w:val="00EF7E90"/>
    <w:rsid w:val="00F002B6"/>
    <w:rsid w:val="00F025A5"/>
    <w:rsid w:val="00F058E7"/>
    <w:rsid w:val="00F10AFE"/>
    <w:rsid w:val="00F15C6C"/>
    <w:rsid w:val="00F17173"/>
    <w:rsid w:val="00F20987"/>
    <w:rsid w:val="00F224DC"/>
    <w:rsid w:val="00F2687F"/>
    <w:rsid w:val="00F26A5E"/>
    <w:rsid w:val="00F27F29"/>
    <w:rsid w:val="00F3250D"/>
    <w:rsid w:val="00F32D54"/>
    <w:rsid w:val="00F33A65"/>
    <w:rsid w:val="00F36C54"/>
    <w:rsid w:val="00F418EA"/>
    <w:rsid w:val="00F41A29"/>
    <w:rsid w:val="00F44C1C"/>
    <w:rsid w:val="00F518DF"/>
    <w:rsid w:val="00F544DB"/>
    <w:rsid w:val="00F6502E"/>
    <w:rsid w:val="00F65663"/>
    <w:rsid w:val="00F70DEB"/>
    <w:rsid w:val="00F75147"/>
    <w:rsid w:val="00F756C0"/>
    <w:rsid w:val="00F75A40"/>
    <w:rsid w:val="00F77637"/>
    <w:rsid w:val="00F8435D"/>
    <w:rsid w:val="00F862E5"/>
    <w:rsid w:val="00F87DD0"/>
    <w:rsid w:val="00F901B9"/>
    <w:rsid w:val="00F90F26"/>
    <w:rsid w:val="00F91570"/>
    <w:rsid w:val="00F93360"/>
    <w:rsid w:val="00F93FE4"/>
    <w:rsid w:val="00F97E4E"/>
    <w:rsid w:val="00FA1A40"/>
    <w:rsid w:val="00FA217B"/>
    <w:rsid w:val="00FA66A9"/>
    <w:rsid w:val="00FB0BC5"/>
    <w:rsid w:val="00FB0BCC"/>
    <w:rsid w:val="00FB12E3"/>
    <w:rsid w:val="00FB3AE7"/>
    <w:rsid w:val="00FB3C16"/>
    <w:rsid w:val="00FC0FE5"/>
    <w:rsid w:val="00FC650B"/>
    <w:rsid w:val="00FC71E1"/>
    <w:rsid w:val="00FD02B7"/>
    <w:rsid w:val="00FD1ABC"/>
    <w:rsid w:val="00FD7DDF"/>
    <w:rsid w:val="00FE1BD3"/>
    <w:rsid w:val="00FE3D6F"/>
    <w:rsid w:val="00FE4C92"/>
    <w:rsid w:val="00FE63EB"/>
    <w:rsid w:val="00FF0FAA"/>
    <w:rsid w:val="00FF3759"/>
    <w:rsid w:val="00FF4396"/>
    <w:rsid w:val="00FF4C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3AC59FDF"/>
  <w15:docId w15:val="{7BED9C36-4AFC-48BA-B21D-7F5EB0E8C375}"/>
  <w:attachedTemplate r:id="relationI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hr-HR" w:eastAsia="fr-FR" w:bidi="fr-FR"/>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1AE"/>
    <w:pPr>
      <w:widowControl w:val="0"/>
      <w:overflowPunct w:val="0"/>
      <w:autoSpaceDE w:val="0"/>
      <w:autoSpaceDN w:val="0"/>
      <w:adjustRightInd w:val="0"/>
      <w:spacing w:line="288" w:lineRule="auto"/>
      <w:jc w:val="both"/>
      <w:textAlignment w:val="baseline"/>
    </w:pPr>
    <w:rPr>
      <w:sz w:val="20"/>
      <w:szCs w:val="20"/>
      <w:lang w:eastAsia="en-GB" w:bidi="ar-SA"/>
    </w:rPr>
  </w:style>
  <w:style w:type="paragraph" w:styleId="Heading1">
    <w:name w:val="heading 1"/>
    <w:basedOn w:val="Normal"/>
    <w:next w:val="Normal"/>
    <w:link w:val="Heading1Char"/>
    <w:qFormat/>
    <w:rsid w:val="002131AE"/>
    <w:pPr>
      <w:numPr>
        <w:numId w:val="1"/>
      </w:numPr>
      <w:ind w:left="720" w:hanging="720"/>
      <w:outlineLvl w:val="0"/>
    </w:pPr>
    <w:rPr>
      <w:kern w:val="28"/>
    </w:rPr>
  </w:style>
  <w:style w:type="paragraph" w:styleId="Heading2">
    <w:name w:val="heading 2"/>
    <w:basedOn w:val="Normal"/>
    <w:next w:val="Normal"/>
    <w:link w:val="Heading2Char"/>
    <w:qFormat/>
    <w:rsid w:val="002131AE"/>
    <w:pPr>
      <w:numPr>
        <w:ilvl w:val="1"/>
        <w:numId w:val="1"/>
      </w:numPr>
      <w:outlineLvl w:val="1"/>
    </w:pPr>
  </w:style>
  <w:style w:type="paragraph" w:styleId="Heading3">
    <w:name w:val="heading 3"/>
    <w:basedOn w:val="Normal"/>
    <w:next w:val="Normal"/>
    <w:link w:val="Heading3Char"/>
    <w:qFormat/>
    <w:rsid w:val="002131AE"/>
    <w:pPr>
      <w:numPr>
        <w:ilvl w:val="2"/>
        <w:numId w:val="1"/>
      </w:numPr>
      <w:ind w:left="720" w:hanging="720"/>
      <w:outlineLvl w:val="2"/>
    </w:pPr>
  </w:style>
  <w:style w:type="paragraph" w:styleId="Heading4">
    <w:name w:val="heading 4"/>
    <w:basedOn w:val="Normal"/>
    <w:next w:val="Normal"/>
    <w:link w:val="Heading4Char"/>
    <w:qFormat/>
    <w:rsid w:val="002131AE"/>
    <w:pPr>
      <w:numPr>
        <w:ilvl w:val="3"/>
        <w:numId w:val="1"/>
      </w:numPr>
      <w:ind w:left="720" w:hanging="720"/>
      <w:outlineLvl w:val="3"/>
    </w:pPr>
  </w:style>
  <w:style w:type="paragraph" w:styleId="Heading5">
    <w:name w:val="heading 5"/>
    <w:basedOn w:val="Normal"/>
    <w:next w:val="Normal"/>
    <w:link w:val="Heading5Char"/>
    <w:qFormat/>
    <w:rsid w:val="002131AE"/>
    <w:pPr>
      <w:numPr>
        <w:ilvl w:val="4"/>
        <w:numId w:val="1"/>
      </w:numPr>
      <w:ind w:left="720" w:hanging="720"/>
      <w:outlineLvl w:val="4"/>
    </w:pPr>
  </w:style>
  <w:style w:type="paragraph" w:styleId="Heading6">
    <w:name w:val="heading 6"/>
    <w:basedOn w:val="Normal"/>
    <w:next w:val="Normal"/>
    <w:link w:val="Heading6Char"/>
    <w:qFormat/>
    <w:rsid w:val="002131AE"/>
    <w:pPr>
      <w:numPr>
        <w:ilvl w:val="5"/>
        <w:numId w:val="1"/>
      </w:numPr>
      <w:ind w:left="720" w:hanging="720"/>
      <w:outlineLvl w:val="5"/>
    </w:pPr>
  </w:style>
  <w:style w:type="paragraph" w:styleId="Heading7">
    <w:name w:val="heading 7"/>
    <w:basedOn w:val="Normal"/>
    <w:next w:val="Normal"/>
    <w:link w:val="Heading7Char"/>
    <w:qFormat/>
    <w:rsid w:val="002131AE"/>
    <w:pPr>
      <w:numPr>
        <w:ilvl w:val="6"/>
        <w:numId w:val="1"/>
      </w:numPr>
      <w:ind w:left="720" w:hanging="720"/>
      <w:outlineLvl w:val="6"/>
    </w:pPr>
  </w:style>
  <w:style w:type="paragraph" w:styleId="Heading8">
    <w:name w:val="heading 8"/>
    <w:basedOn w:val="Normal"/>
    <w:next w:val="Normal"/>
    <w:link w:val="Heading8Char"/>
    <w:qFormat/>
    <w:rsid w:val="002131AE"/>
    <w:pPr>
      <w:numPr>
        <w:ilvl w:val="7"/>
        <w:numId w:val="1"/>
      </w:numPr>
      <w:ind w:left="720" w:hanging="720"/>
      <w:outlineLvl w:val="7"/>
    </w:pPr>
  </w:style>
  <w:style w:type="paragraph" w:styleId="Heading9">
    <w:name w:val="heading 9"/>
    <w:basedOn w:val="Normal"/>
    <w:next w:val="Normal"/>
    <w:link w:val="Heading9Char"/>
    <w:qFormat/>
    <w:rsid w:val="002131AE"/>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B1536"/>
    <w:rPr>
      <w:kern w:val="28"/>
      <w:szCs w:val="20"/>
      <w:lang w:eastAsia="fr-FR" w:bidi="fr-FR"/>
    </w:rPr>
  </w:style>
  <w:style w:type="character" w:customStyle="1" w:styleId="Heading2Char">
    <w:name w:val="Heading 2 Char"/>
    <w:basedOn w:val="DefaultParagraphFont"/>
    <w:link w:val="Heading2"/>
    <w:locked/>
    <w:rsid w:val="00CB1536"/>
    <w:rPr>
      <w:szCs w:val="20"/>
      <w:lang w:eastAsia="fr-FR" w:bidi="fr-FR"/>
    </w:rPr>
  </w:style>
  <w:style w:type="character" w:customStyle="1" w:styleId="Heading3Char">
    <w:name w:val="Heading 3 Char"/>
    <w:basedOn w:val="DefaultParagraphFont"/>
    <w:link w:val="Heading3"/>
    <w:locked/>
    <w:rsid w:val="00CB1536"/>
    <w:rPr>
      <w:szCs w:val="20"/>
      <w:lang w:eastAsia="fr-FR" w:bidi="fr-FR"/>
    </w:rPr>
  </w:style>
  <w:style w:type="character" w:customStyle="1" w:styleId="Heading4Char">
    <w:name w:val="Heading 4 Char"/>
    <w:basedOn w:val="DefaultParagraphFont"/>
    <w:link w:val="Heading4"/>
    <w:locked/>
    <w:rsid w:val="00CB1536"/>
    <w:rPr>
      <w:szCs w:val="20"/>
      <w:lang w:eastAsia="fr-FR" w:bidi="fr-FR"/>
    </w:rPr>
  </w:style>
  <w:style w:type="character" w:customStyle="1" w:styleId="Heading5Char">
    <w:name w:val="Heading 5 Char"/>
    <w:basedOn w:val="DefaultParagraphFont"/>
    <w:link w:val="Heading5"/>
    <w:locked/>
    <w:rsid w:val="00CB1536"/>
    <w:rPr>
      <w:szCs w:val="20"/>
      <w:lang w:eastAsia="fr-FR" w:bidi="fr-FR"/>
    </w:rPr>
  </w:style>
  <w:style w:type="character" w:customStyle="1" w:styleId="Heading6Char">
    <w:name w:val="Heading 6 Char"/>
    <w:basedOn w:val="DefaultParagraphFont"/>
    <w:link w:val="Heading6"/>
    <w:locked/>
    <w:rsid w:val="00CB1536"/>
    <w:rPr>
      <w:szCs w:val="20"/>
      <w:lang w:eastAsia="fr-FR" w:bidi="fr-FR"/>
    </w:rPr>
  </w:style>
  <w:style w:type="character" w:customStyle="1" w:styleId="Heading7Char">
    <w:name w:val="Heading 7 Char"/>
    <w:basedOn w:val="DefaultParagraphFont"/>
    <w:link w:val="Heading7"/>
    <w:locked/>
    <w:rsid w:val="00CB1536"/>
    <w:rPr>
      <w:szCs w:val="20"/>
      <w:lang w:eastAsia="fr-FR" w:bidi="fr-FR"/>
    </w:rPr>
  </w:style>
  <w:style w:type="character" w:customStyle="1" w:styleId="Heading8Char">
    <w:name w:val="Heading 8 Char"/>
    <w:basedOn w:val="DefaultParagraphFont"/>
    <w:link w:val="Heading8"/>
    <w:locked/>
    <w:rsid w:val="00CB1536"/>
    <w:rPr>
      <w:szCs w:val="20"/>
      <w:lang w:eastAsia="fr-FR" w:bidi="fr-FR"/>
    </w:rPr>
  </w:style>
  <w:style w:type="character" w:customStyle="1" w:styleId="Heading9Char">
    <w:name w:val="Heading 9 Char"/>
    <w:basedOn w:val="DefaultParagraphFont"/>
    <w:link w:val="Heading9"/>
    <w:locked/>
    <w:rsid w:val="00CB1536"/>
    <w:rPr>
      <w:szCs w:val="20"/>
      <w:lang w:eastAsia="fr-FR" w:bidi="fr-FR"/>
    </w:rPr>
  </w:style>
  <w:style w:type="paragraph" w:styleId="Footer">
    <w:name w:val="footer"/>
    <w:basedOn w:val="Normal"/>
    <w:link w:val="FooterChar"/>
    <w:rsid w:val="002131AE"/>
    <w:rPr>
      <w:sz w:val="22"/>
    </w:rPr>
  </w:style>
  <w:style w:type="character" w:customStyle="1" w:styleId="FooterChar">
    <w:name w:val="Footer Char"/>
    <w:basedOn w:val="DefaultParagraphFont"/>
    <w:link w:val="Footer"/>
    <w:locked/>
    <w:rsid w:val="00CB1536"/>
    <w:rPr>
      <w:szCs w:val="20"/>
      <w:lang w:eastAsia="en-GB" w:bidi="ar-SA"/>
    </w:rPr>
  </w:style>
  <w:style w:type="paragraph" w:styleId="FootnoteText">
    <w:name w:val="footnote text"/>
    <w:basedOn w:val="Normal"/>
    <w:link w:val="FootnoteTextChar"/>
    <w:uiPriority w:val="99"/>
    <w:qFormat/>
    <w:rsid w:val="002131AE"/>
    <w:pPr>
      <w:keepLines/>
      <w:spacing w:after="60" w:line="240" w:lineRule="auto"/>
      <w:ind w:left="720" w:hanging="720"/>
    </w:pPr>
    <w:rPr>
      <w:sz w:val="16"/>
    </w:rPr>
  </w:style>
  <w:style w:type="character" w:customStyle="1" w:styleId="FootnoteTextChar">
    <w:name w:val="Footnote Text Char"/>
    <w:basedOn w:val="DefaultParagraphFont"/>
    <w:link w:val="FootnoteText"/>
    <w:uiPriority w:val="99"/>
    <w:locked/>
    <w:rsid w:val="00CB1536"/>
    <w:rPr>
      <w:sz w:val="16"/>
      <w:szCs w:val="20"/>
      <w:lang w:eastAsia="fr-FR" w:bidi="fr-FR"/>
    </w:rPr>
  </w:style>
  <w:style w:type="paragraph" w:styleId="Header">
    <w:name w:val="header"/>
    <w:basedOn w:val="Normal"/>
    <w:link w:val="HeaderChar"/>
    <w:rsid w:val="002131AE"/>
    <w:rPr>
      <w:sz w:val="22"/>
    </w:rPr>
  </w:style>
  <w:style w:type="character" w:customStyle="1" w:styleId="HeaderChar">
    <w:name w:val="Header Char"/>
    <w:basedOn w:val="DefaultParagraphFont"/>
    <w:link w:val="Header"/>
    <w:locked/>
    <w:rsid w:val="00CB1536"/>
    <w:rPr>
      <w:szCs w:val="20"/>
      <w:lang w:eastAsia="en-GB" w:bidi="ar-SA"/>
    </w:rPr>
  </w:style>
  <w:style w:type="character" w:styleId="Hyperlink">
    <w:name w:val="Hyperlink"/>
    <w:basedOn w:val="DefaultParagraphFont"/>
    <w:rsid w:val="00934C10"/>
    <w:rPr>
      <w:color w:val="0000FF"/>
      <w:u w:val="single"/>
    </w:rPr>
  </w:style>
  <w:style w:type="character" w:styleId="FootnoteReference">
    <w:name w:val="footnote reference"/>
    <w:basedOn w:val="DefaultParagraphFont"/>
    <w:qFormat/>
    <w:rsid w:val="002131AE"/>
    <w:rPr>
      <w:sz w:val="24"/>
      <w:vertAlign w:val="superscript"/>
    </w:rPr>
  </w:style>
  <w:style w:type="character" w:styleId="FollowedHyperlink">
    <w:name w:val="FollowedHyperlink"/>
    <w:basedOn w:val="DefaultParagraphFont"/>
    <w:uiPriority w:val="99"/>
    <w:rsid w:val="00934C10"/>
    <w:rPr>
      <w:color w:val="800080"/>
      <w:u w:val="single"/>
    </w:rPr>
  </w:style>
  <w:style w:type="paragraph" w:customStyle="1" w:styleId="LOGO">
    <w:name w:val="LOGO"/>
    <w:basedOn w:val="Normal"/>
    <w:uiPriority w:val="99"/>
    <w:rsid w:val="00934C10"/>
    <w:pPr>
      <w:jc w:val="center"/>
    </w:pPr>
    <w:rPr>
      <w:rFonts w:ascii="Arial" w:hAnsi="Arial" w:cs="Arial"/>
      <w:b/>
      <w:bCs/>
      <w:i/>
      <w:iCs/>
    </w:rPr>
  </w:style>
  <w:style w:type="paragraph" w:styleId="Revision">
    <w:name w:val="Revision"/>
    <w:hidden/>
    <w:uiPriority w:val="99"/>
    <w:semiHidden/>
    <w:rsid w:val="00B2372C"/>
    <w:pPr>
      <w:widowControl w:val="0"/>
      <w:adjustRightInd w:val="0"/>
      <w:spacing w:line="360" w:lineRule="atLeast"/>
      <w:jc w:val="both"/>
      <w:textAlignment w:val="baseline"/>
    </w:pPr>
    <w:rPr>
      <w:sz w:val="20"/>
      <w:szCs w:val="20"/>
      <w:lang w:eastAsia="en-GB" w:bidi="ar-SA"/>
    </w:rPr>
  </w:style>
  <w:style w:type="paragraph" w:styleId="BalloonText">
    <w:name w:val="Balloon Text"/>
    <w:basedOn w:val="Normal"/>
    <w:link w:val="BalloonTextChar"/>
    <w:uiPriority w:val="99"/>
    <w:semiHidden/>
    <w:unhideWhenUsed/>
    <w:rsid w:val="00C737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7B2"/>
    <w:rPr>
      <w:rFonts w:ascii="Tahoma" w:hAnsi="Tahoma" w:cs="Tahoma"/>
      <w:sz w:val="16"/>
      <w:szCs w:val="16"/>
      <w:lang w:eastAsia="fr-FR" w:bidi="fr-FR"/>
    </w:rPr>
  </w:style>
  <w:style w:type="character" w:styleId="CommentReference">
    <w:name w:val="annotation reference"/>
    <w:basedOn w:val="DefaultParagraphFont"/>
    <w:semiHidden/>
    <w:unhideWhenUsed/>
    <w:rsid w:val="005E09C6"/>
    <w:rPr>
      <w:sz w:val="16"/>
      <w:szCs w:val="16"/>
    </w:rPr>
  </w:style>
  <w:style w:type="paragraph" w:styleId="CommentText">
    <w:name w:val="annotation text"/>
    <w:basedOn w:val="Normal"/>
    <w:link w:val="CommentTextChar"/>
    <w:semiHidden/>
    <w:unhideWhenUsed/>
    <w:rsid w:val="005E09C6"/>
    <w:pPr>
      <w:spacing w:line="240" w:lineRule="auto"/>
    </w:pPr>
  </w:style>
  <w:style w:type="character" w:customStyle="1" w:styleId="CommentTextChar">
    <w:name w:val="Comment Text Char"/>
    <w:basedOn w:val="DefaultParagraphFont"/>
    <w:link w:val="CommentText"/>
    <w:semiHidden/>
    <w:rsid w:val="005E09C6"/>
    <w:rPr>
      <w:sz w:val="20"/>
      <w:szCs w:val="20"/>
      <w:lang w:eastAsia="en-GB" w:bidi="ar-SA"/>
    </w:rPr>
  </w:style>
  <w:style w:type="paragraph" w:styleId="CommentSubject">
    <w:name w:val="annotation subject"/>
    <w:basedOn w:val="CommentText"/>
    <w:next w:val="CommentText"/>
    <w:link w:val="CommentSubjectChar"/>
    <w:uiPriority w:val="99"/>
    <w:semiHidden/>
    <w:unhideWhenUsed/>
    <w:rsid w:val="00DF1E98"/>
    <w:rPr>
      <w:b/>
      <w:bCs/>
    </w:rPr>
  </w:style>
  <w:style w:type="character" w:customStyle="1" w:styleId="CommentSubjectChar">
    <w:name w:val="Comment Subject Char"/>
    <w:basedOn w:val="CommentTextChar"/>
    <w:link w:val="CommentSubject"/>
    <w:uiPriority w:val="99"/>
    <w:semiHidden/>
    <w:rsid w:val="00DF1E98"/>
    <w:rPr>
      <w:b/>
      <w:bCs/>
      <w:sz w:val="20"/>
      <w:szCs w:val="20"/>
      <w:lang w:eastAsia="en-GB" w:bidi="ar-SA"/>
    </w:rPr>
  </w:style>
  <w:style w:type="paragraph" w:styleId="ListParagraph">
    <w:name w:val="List Paragraph"/>
    <w:basedOn w:val="Normal"/>
    <w:uiPriority w:val="34"/>
    <w:qFormat/>
    <w:rsid w:val="002C2649"/>
    <w:pPr>
      <w:ind w:left="720"/>
      <w:contextualSpacing/>
    </w:pPr>
  </w:style>
  <w:style w:type="table" w:styleId="TableGrid">
    <w:name w:val="Table Grid"/>
    <w:basedOn w:val="TableNormal"/>
    <w:locked/>
    <w:rsid w:val="00D65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949853">
      <w:bodyDiv w:val="1"/>
      <w:marLeft w:val="0"/>
      <w:marRight w:val="0"/>
      <w:marTop w:val="0"/>
      <w:marBottom w:val="0"/>
      <w:divBdr>
        <w:top w:val="none" w:sz="0" w:space="0" w:color="auto"/>
        <w:left w:val="none" w:sz="0" w:space="0" w:color="auto"/>
        <w:bottom w:val="none" w:sz="0" w:space="0" w:color="auto"/>
        <w:right w:val="none" w:sz="0" w:space="0" w:color="auto"/>
      </w:divBdr>
    </w:div>
    <w:div w:id="159373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3.xml"/><Relationship Id="rId25" Type="http://schemas.openxmlformats.org/officeDocument/2006/relationships/customXml" Target="../customXml/item4.xml"/><Relationship Id="rId16" Type="http://schemas.openxmlformats.org/officeDocument/2006/relationships/footer" Target="footer2.xml"/><Relationship Id="rId20" Type="http://schemas.openxmlformats.org/officeDocument/2006/relationships/fontTable" Target="fontTable.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3.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footnotes" Target="footnotes.xml"/><Relationship Id="rId19" Type="http://schemas.openxmlformats.org/officeDocument/2006/relationships/footer" Target="footer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R/TXT/?uri=uriserv%3AOJ.C_.2019.190.01.0001.01.ENG&amp;toc=OJ%3AC%3A2019%3A190%3ATOC" TargetMode="External"/><Relationship Id="rId13" Type="http://schemas.openxmlformats.org/officeDocument/2006/relationships/hyperlink" Target="https://eur-lex.europa.eu/legal-content/HR/TXT/?uri=uriserv%3AOJ.C_.2018.129.01.0044.01.ENG&amp;toc=OJ%3AC%3A2018%3A129%3ATOC" TargetMode="External"/><Relationship Id="rId18" Type="http://schemas.openxmlformats.org/officeDocument/2006/relationships/hyperlink" Target="https://eur-lex.europa.eu/legal-content/HR/TXT/?uri=uriserv%3AOJ.C_.2020.014.01.0060.01.ENG&amp;toc=OJ%3AC%3A2020%3A014%3ATOC" TargetMode="External"/><Relationship Id="rId3" Type="http://schemas.openxmlformats.org/officeDocument/2006/relationships/hyperlink" Target="https://www.etui.org/Publications2/Working-Papers/Why-central-and-eastern-Europe-needs-a-pay-rise" TargetMode="External"/><Relationship Id="rId7" Type="http://schemas.openxmlformats.org/officeDocument/2006/relationships/hyperlink" Target="https://eur-lex.europa.eu/legal-content/HR/TXT/?uri=uriserv%3AOJ.C_.2020.014.01.0060.01.ENG&amp;toc=OJ%3AC%3A2020%3A014%3ATOC" TargetMode="External"/><Relationship Id="rId12" Type="http://schemas.openxmlformats.org/officeDocument/2006/relationships/hyperlink" Target="https://eur-lex.europa.eu/legal-content/HR/TXT/?uri=uriserv%3AOJ.C_.2020.014.01.0052.01.ENG&amp;toc=OJ%3AC%3A2020%3A014%3ATOC" TargetMode="External"/><Relationship Id="rId17" Type="http://schemas.openxmlformats.org/officeDocument/2006/relationships/hyperlink" Target="https://osha.europa.eu/sites/default/files/publications/documents/Work-related_MSDs_prevalence_costs_and_demographics_in_the_EU_report.pdf" TargetMode="External"/><Relationship Id="rId2" Type="http://schemas.openxmlformats.org/officeDocument/2006/relationships/hyperlink" Target="https://ec.europa.eu/jrc/en/publication/eur-scientific-and-technical-research-reports/demographic-scenarios-eu" TargetMode="External"/><Relationship Id="rId16" Type="http://schemas.openxmlformats.org/officeDocument/2006/relationships/hyperlink" Target="https://eur-lex.europa.eu/legal-content/HR/TXT/?uri=uriserv%3AOJ.C_.2019.062.01.0142.01.ENG&amp;toc=OJ%3AC%3A2019%3A062%3ATOC" TargetMode="External"/><Relationship Id="rId1" Type="http://schemas.openxmlformats.org/officeDocument/2006/relationships/hyperlink" Target="https://www.etui.org/Publications2/Working-Papers/Why-central-and-eastern-Europe-needs-a-pay-rise" TargetMode="External"/><Relationship Id="rId6" Type="http://schemas.openxmlformats.org/officeDocument/2006/relationships/hyperlink" Target="https://eur-lex.europa.eu/LexUriServ/LexUriServ.do?uri=OJ:C:2011:318:0001:0008:EN:PDF" TargetMode="External"/><Relationship Id="rId11" Type="http://schemas.openxmlformats.org/officeDocument/2006/relationships/hyperlink" Target="https://eur-lex.europa.eu/legal-content/HR/TXT/?uri=uriserv%3AOJ.C_.2019.062.01.0142.01.ENG&amp;toc=OJ%3AC%3A2019%3A062%3ATOC" TargetMode="External"/><Relationship Id="rId5" Type="http://schemas.openxmlformats.org/officeDocument/2006/relationships/hyperlink" Target="https://eur-lex.europa.eu/legal-content/HR/TXT/?uri=uriserv%3AOJ.C_.2007.161.01.0066.01.ENG&amp;toc=OJ%3AC%3A2007%3A161%3ATOC" TargetMode="External"/><Relationship Id="rId15" Type="http://schemas.openxmlformats.org/officeDocument/2006/relationships/hyperlink" Target="https://eur-lex.europa.eu/legal-content/HR/TXT/?uri=uriserv%3AOJ.C_.2020.014.01.0060.01.ENG&amp;toc=OJ%3AC%3A2020%3A014%3ATOC" TargetMode="External"/><Relationship Id="rId10" Type="http://schemas.openxmlformats.org/officeDocument/2006/relationships/hyperlink" Target="https://www.un.org/ga/search/view_doc.asp?symbol=E/CN.6/2017/3" TargetMode="External"/><Relationship Id="rId19" Type="http://schemas.openxmlformats.org/officeDocument/2006/relationships/hyperlink" Target="https://eur-lex.europa.eu/legal-content/HR/TXT/?uri=uriserv%3AOJ.C_.2019.110.01.0001.01.ENG&amp;toc=OJ%3AC%3A2019%3A110%3ATOC" TargetMode="External"/><Relationship Id="rId4" Type="http://schemas.openxmlformats.org/officeDocument/2006/relationships/hyperlink" Target="https://eur-lex.europa.eu/legal-content/HR/TXT/?uri=uriserv%3AOJ.C_.2011.218.01.0007.01.ENG&amp;toc=OJ%3AC%3A2011%3A218%3ATOC" TargetMode="External"/><Relationship Id="rId9" Type="http://schemas.openxmlformats.org/officeDocument/2006/relationships/hyperlink" Target="https://eur-lex.europa.eu/legal-content/HR/TXT/?uri=uriserv%3AOJ.C_.2016.071.01.0046.01.ENG&amp;toc=OJ%3AC%3A2016%3A071%3ATOC" TargetMode="External"/><Relationship Id="rId14" Type="http://schemas.openxmlformats.org/officeDocument/2006/relationships/hyperlink" Target="https://eur-lex.europa.eu/legal-content/HR/TXT/?uri=uriserv%3AOJ.C_.2019.110.01.0026.01.ENG&amp;toc=OJ%3AC%3A2019%3A110%3ATOC" TargetMode="External"/></Relationships>
</file>

<file path=word/_rels/settings.xml.rels>&#65279;<?xml version="1.0" encoding="utf-8"?><Relationships xmlns="http://schemas.openxmlformats.org/package/2006/relationships"><Relationship Type="http://schemas.openxmlformats.org/officeDocument/2006/relationships/attachedTemplate" Target="file:///Y:\word2016\Templates\Global\Styles.dotm" TargetMode="External" Id="rId1" /><Relationship Type="http://schemas.openxmlformats.org/officeDocument/2006/relationships/attachedTemplate" Target="Normal.dotm" TargetMode="External" Id="relation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AD7F41433A6CF64590E6DEF3B77EF5BC" ma:contentTypeVersion="4" ma:contentTypeDescription="Defines the documents for Document Manager V2" ma:contentTypeScope="" ma:versionID="57767cad13f405e320dfa48c1a1b278a">
  <xsd:schema xmlns:xsd="http://www.w3.org/2001/XMLSchema" xmlns:xs="http://www.w3.org/2001/XMLSchema" xmlns:p="http://schemas.microsoft.com/office/2006/metadata/properties" xmlns:ns2="bfc960a6-20da-4c94-8684-71380fca093b" xmlns:ns3="http://schemas.microsoft.com/sharepoint/v3/fields" xmlns:ns4="e7079bb7-b7bf-4242-8479-9b6b0b289b96" targetNamespace="http://schemas.microsoft.com/office/2006/metadata/properties" ma:root="true" ma:fieldsID="2b990c73e79d9e86df42c8b52008ac21" ns2:_="" ns3:_="" ns4:_="">
    <xsd:import namespace="bfc960a6-20da-4c94-8684-71380fca093b"/>
    <xsd:import namespace="http://schemas.microsoft.com/sharepoint/v3/fields"/>
    <xsd:import namespace="e7079bb7-b7bf-4242-8479-9b6b0b289b96"/>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960a6-20da-4c94-8684-71380fca093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DossierNumber" ma:index="14" nillable="true" ma:displayName="Dossier Number" ma:decimals="0" ma:internalName="DossierNumber">
      <xsd:simpleType>
        <xsd:restriction base="dms:Unknown"/>
      </xsd:simpleType>
    </xsd:element>
    <xsd:element name="Rapporteur" ma:index="16" nillable="true" ma:displayName="Rapporteur" ma:internalName="Rapporteur">
      <xsd:simpleType>
        <xsd:restriction base="dms:Text"/>
      </xsd:simpleType>
    </xsd:element>
    <xsd:element name="AdoptionDate" ma:index="17" nillable="true" ma:displayName="Adoption Date" ma:format="DateOnly" ma:internalName="AdoptionDate">
      <xsd:simpleType>
        <xsd:restriction base="dms:DateTime"/>
      </xsd:simpleType>
    </xsd:element>
    <xsd:element name="TaxCatchAll" ma:index="19" nillable="true" ma:displayName="Taxonomy Catch All Column" ma:hidden="true" ma:list="{4e4b016f-42fc-4499-ae6e-4c1333bbc229}" ma:internalName="TaxCatchAll" ma:showField="CatchAllData" ma:web="bfc960a6-20da-4c94-8684-71380fca093b">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4e4b016f-42fc-4499-ae6e-4c1333bbc229}" ma:internalName="TaxCatchAllLabel" ma:readOnly="true" ma:showField="CatchAllDataLabel" ma:web="bfc960a6-20da-4c94-8684-71380fca093b">
      <xsd:complexType>
        <xsd:complexContent>
          <xsd:extension base="dms:MultiChoiceLookup">
            <xsd:sequence>
              <xsd:element name="Value" type="dms:Lookup" maxOccurs="unbounded" minOccurs="0" nillable="true"/>
            </xsd:sequence>
          </xsd:extension>
        </xsd:complexContent>
      </xsd:complexType>
    </xsd:element>
    <xsd:element name="MeetingDate" ma:index="25" nillable="true" ma:displayName="Meeting Date" ma:format="DateOnly" ma:internalName="MeetingDate">
      <xsd:simpleType>
        <xsd:restriction base="dms:DateTime"/>
      </xsd:simpleType>
    </xsd:element>
    <xsd:element name="Procedure" ma:index="28" nillable="true" ma:displayName="Procedure" ma:internalName="Procedure">
      <xsd:simpleType>
        <xsd:restriction base="dms:Text"/>
      </xsd:simpleType>
    </xsd:element>
    <xsd:element name="DocumentYear" ma:index="33" ma:displayName="Document Year" ma:decimals="0" ma:internalName="DocumentYear">
      <xsd:simpleType>
        <xsd:restriction base="dms:Unknown"/>
      </xsd:simpleType>
    </xsd:element>
    <xsd:element name="DocumentPart" ma:index="36" nillable="true" ma:displayName="Document Part" ma:decimals="0" ma:internalName="DocumentPart">
      <xsd:simpleType>
        <xsd:restriction base="dms:Unknown"/>
      </xsd:simpleType>
    </xsd:element>
    <xsd:element name="FicheYear" ma:index="41" nillable="true" ma:displayName="Fiche Year" ma:decimals="0" ma:internalName="FicheYear">
      <xsd:simpleType>
        <xsd:restriction base="dms:Unknown"/>
      </xsd:simpleType>
    </xsd:element>
    <xsd:element name="RequestingService" ma:index="42" nillable="true" ma:displayName="Requesting Service" ma:internalName="RequestingService">
      <xsd:simpleType>
        <xsd:restriction base="dms:Text"/>
      </xsd:simpleType>
    </xsd:element>
    <xsd:element name="FicheNumber" ma:index="43" nillable="true" ma:displayName="Fiche Number" ma:decimals="0" ma:internalName="FicheNumber">
      <xsd:simpleType>
        <xsd:restriction base="dms:Unknown"/>
      </xsd:simpleType>
    </xsd:element>
    <xsd:element name="DocumentVersion" ma:index="46"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Confidentiality_0" ma:index="18" nillable="true" ma:taxonomy="true" ma:internalName="Confidentiality_0" ma:taxonomyFieldName="Confidentiality" ma:displayName="Confidentiality" ma:fieldId="{ee5c4bfe-2b62-4831-9131-22edf8f3665c}" ma:sspId="995823bb-b37b-4c02-aebb-d0209d382c3c" ma:termSetId="11d040ac-3a9a-4d4c-b9cf-922342a701d6" ma:anchorId="00000000-0000-0000-0000-000000000000" ma:open="false" ma:isKeyword="false">
      <xsd:complexType>
        <xsd:sequence>
          <xsd:element ref="pc:Terms" minOccurs="0" maxOccurs="1"/>
        </xsd:sequence>
      </xsd:complexType>
    </xsd:element>
    <xsd:element name="DocumentSource_0" ma:index="22" ma:taxonomy="true" ma:internalName="DocumentSource_0" ma:taxonomyFieldName="DocumentSource" ma:displayName="Document Source" ma:fieldId="{ee5c1c29-f257-4aae-8e5e-529c0040e17a}" ma:sspId="995823bb-b37b-4c02-aebb-d0209d382c3c" ma:termSetId="ca143256-a90d-4d26-b249-02646b17c0c5" ma:anchorId="00000000-0000-0000-0000-000000000000" ma:open="false" ma:isKeyword="false">
      <xsd:complexType>
        <xsd:sequence>
          <xsd:element ref="pc:Terms" minOccurs="0" maxOccurs="1"/>
        </xsd:sequence>
      </xsd:complexType>
    </xsd:element>
    <xsd:element name="OriginalLanguage_0" ma:index="26" nillable="true" ma:taxonomy="true" ma:internalName="OriginalLanguage_0" ma:taxonomyFieldName="OriginalLanguage" ma:displayName="Original Language" ma:fieldId="{ee5ce750-ff6c-4875-8192-ef11fb51efba}"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VersionStatus_0" ma:index="29" ma:taxonomy="true" ma:internalName="VersionStatus_0" ma:taxonomyFieldName="VersionStatus" ma:displayName="Version Status" ma:indexed="true" ma:fieldId="{ee5cb94b-3df1-4df3-b49b-6e47ce2a7e87}" ma:sspId="995823bb-b37b-4c02-aebb-d0209d382c3c" ma:termSetId="adeca67b-2bdd-4d0f-b3af-a690b4c6d95d" ma:anchorId="00000000-0000-0000-0000-000000000000" ma:open="false" ma:isKeyword="false">
      <xsd:complexType>
        <xsd:sequence>
          <xsd:element ref="pc:Terms" minOccurs="0" maxOccurs="1"/>
        </xsd:sequence>
      </xsd:complexType>
    </xsd:element>
    <xsd:element name="DocumentStatus_0" ma:index="31" nillable="true" ma:taxonomy="true" ma:internalName="DocumentStatus_0" ma:taxonomyFieldName="DocumentStatus" ma:displayName="Document Status" ma:fieldId="{ee5cab93-ac4d-4e2f-b298-e5342324388c}" ma:sspId="995823bb-b37b-4c02-aebb-d0209d382c3c" ma:termSetId="54b85ca4-9023-4cbf-8e96-81af7735228f" ma:anchorId="00000000-0000-0000-0000-000000000000" ma:open="false" ma:isKeyword="false">
      <xsd:complexType>
        <xsd:sequence>
          <xsd:element ref="pc:Terms" minOccurs="0" maxOccurs="1"/>
        </xsd:sequence>
      </xsd:complexType>
    </xsd:element>
    <xsd:element name="DocumentType_0" ma:index="34" nillable="true" ma:taxonomy="true" ma:internalName="DocumentType_0" ma:taxonomyFieldName="DocumentType" ma:displayName="Document Type" ma:indexed="true" ma:fieldId="{ee5cf431-2d10-41e6-bd88-1b6bd5b84f5f}" ma:sspId="995823bb-b37b-4c02-aebb-d0209d382c3c" ma:termSetId="67a76952-94e0-437b-9a60-5085083dde02" ma:anchorId="00000000-0000-0000-0000-000000000000" ma:open="false" ma:isKeyword="false">
      <xsd:complexType>
        <xsd:sequence>
          <xsd:element ref="pc:Terms" minOccurs="0" maxOccurs="1"/>
        </xsd:sequence>
      </xsd:complexType>
    </xsd:element>
    <xsd:element name="MeetingName_0" ma:index="37" nillable="true" ma:taxonomy="true" ma:internalName="MeetingName_0" ma:taxonomyFieldName="MeetingName" ma:displayName="Meeting Name" ma:indexed="true" ma:fieldId="{ee5c9b55-8403-4f9e-a156-b6ce5b7b9456}" ma:sspId="995823bb-b37b-4c02-aebb-d0209d382c3c" ma:termSetId="a04e9634-de73-4a41-8cb5-e1efdb89060c" ma:anchorId="00000000-0000-0000-0000-000000000000" ma:open="false" ma:isKeyword="false">
      <xsd:complexType>
        <xsd:sequence>
          <xsd:element ref="pc:Terms" minOccurs="0" maxOccurs="1"/>
        </xsd:sequence>
      </xsd:complexType>
    </xsd:element>
    <xsd:element name="AvailableTranslations_0" ma:index="39" nillable="true" ma:taxonomy="true" ma:internalName="AvailableTranslations_0" ma:taxonomyFieldName="AvailableTranslations" ma:displayName="Available Translations" ma:fieldId="{ee5c7c01-1a65-4138-aa64-80e01e34d799}"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DossierName_0" ma:index="44" nillable="true" ma:taxonomy="true" ma:internalName="DossierName_0" ma:taxonomyFieldName="DossierName" ma:displayName="Dossier Name" ma:fieldId="{ee5cf7da-503b-4593-8db2-4f0e09c901fd}" ma:sspId="995823bb-b37b-4c02-aebb-d0209d382c3c"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79bb7-b7bf-4242-8479-9b6b0b289b96" elementFormDefault="qualified">
    <xsd:import namespace="http://schemas.microsoft.com/office/2006/documentManagement/types"/>
    <xsd:import namespace="http://schemas.microsoft.com/office/infopath/2007/PartnerControls"/>
    <xsd:element name="MeetingNumber" ma:index="15" nillable="true" ma:displayName="Meeting Number" ma:decimals="0" ma:indexed="true" ma:internalName="MeetingNumber">
      <xsd:simpleType>
        <xsd:restriction base="dms:Unknown"/>
      </xsd:simpleType>
    </xsd:element>
    <xsd:element name="DocumentNumber" ma:index="24"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fc960a6-20da-4c94-8684-71380fca093b">CTJJHAUHWN5E-2028081414-7006</_dlc_DocId>
    <_dlc_DocIdUrl xmlns="bfc960a6-20da-4c94-8684-71380fca093b">
      <Url>http://dm2016/eesc/2019/_layouts/15/DocIdRedir.aspx?ID=CTJJHAUHWN5E-2028081414-7006</Url>
      <Description>CTJJHAUHWN5E-2028081414-7006</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bfc960a6-20da-4c94-8684-71380fca093b"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bfc960a6-20da-4c94-8684-71380fca093b">2020-05-08T12:00:00+00:00</ProductionDate>
    <FicheYear xmlns="bfc960a6-20da-4c94-8684-71380fca093b">2019</FicheYear>
    <DocumentNumber xmlns="e7079bb7-b7bf-4242-8479-9b6b0b289b96">4587</DocumentNumber>
    <DocumentVersion xmlns="bfc960a6-20da-4c94-8684-71380fca093b">0</DocumentVersion>
    <DossierNumber xmlns="bfc960a6-20da-4c94-8684-71380fca093b">628</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bfc960a6-20da-4c94-8684-71380fca093b" xsi:nil="true"/>
    <TaxCatchAll xmlns="bfc960a6-20da-4c94-8684-71380fca093b">
      <Value>85</Value>
      <Value>65</Value>
      <Value>64</Value>
      <Value>63</Value>
      <Value>62</Value>
      <Value>60</Value>
      <Value>59</Value>
      <Value>58</Value>
      <Value>57</Value>
      <Value>56</Value>
      <Value>55</Value>
      <Value>52</Value>
      <Value>49</Value>
      <Value>48</Value>
      <Value>46</Value>
      <Value>45</Value>
      <Value>38</Value>
      <Value>27</Value>
      <Value>25</Value>
      <Value>21</Value>
      <Value>17</Value>
      <Value>16</Value>
      <Value>14</Value>
      <Value>10</Value>
      <Value>7</Value>
      <Value>5</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s>
    </DocumentLanguage_0>
    <Rapporteur xmlns="bfc960a6-20da-4c94-8684-71380fca093b">ROGALEWSKI &amp; BUFFETAUT</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bfc960a6-20da-4c94-8684-71380fca093b">2019</DocumentYear>
    <FicheNumber xmlns="bfc960a6-20da-4c94-8684-71380fca093b">4286</FicheNumber>
    <DocumentPart xmlns="bfc960a6-20da-4c94-8684-71380fca093b">0</DocumentPart>
    <AdoptionDate xmlns="bfc960a6-20da-4c94-8684-71380fca093b">2020-05-07T12:00:00+00:00</AdoptionDate>
    <RequestingService xmlns="bfc960a6-20da-4c94-8684-71380fca093b">Emploi, affaires sociales, citoyenneté</RequestingService>
    <MeetingName_0 xmlns="http://schemas.microsoft.com/sharepoint/v3/fields">
      <Terms xmlns="http://schemas.microsoft.com/office/infopath/2007/PartnerControl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e7079bb7-b7bf-4242-8479-9b6b0b289b96"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SOC</TermName>
          <TermId xmlns="http://schemas.microsoft.com/office/infopath/2007/PartnerControls">13795804-ecbd-4ce5-9693-9b8be1981b20</TermId>
        </TermInfo>
      </Terms>
    </DossierName_0>
  </documentManagement>
</p:properties>
</file>

<file path=customXml/itemProps1.xml><?xml version="1.0" encoding="utf-8"?>
<ds:datastoreItem xmlns:ds="http://schemas.openxmlformats.org/officeDocument/2006/customXml" ds:itemID="{BA5F788A-53CE-4A5D-8129-327BF7EB04FF}"/>
</file>

<file path=customXml/itemProps2.xml><?xml version="1.0" encoding="utf-8"?>
<ds:datastoreItem xmlns:ds="http://schemas.openxmlformats.org/officeDocument/2006/customXml" ds:itemID="{41E840B5-CE3A-4443-BD5F-A0E8A741BB23}"/>
</file>

<file path=customXml/itemProps3.xml><?xml version="1.0" encoding="utf-8"?>
<ds:datastoreItem xmlns:ds="http://schemas.openxmlformats.org/officeDocument/2006/customXml" ds:itemID="{425426D7-0596-44F7-88E9-756DAE94B606}"/>
</file>

<file path=customXml/itemProps4.xml><?xml version="1.0" encoding="utf-8"?>
<ds:datastoreItem xmlns:ds="http://schemas.openxmlformats.org/officeDocument/2006/customXml" ds:itemID="{A3415327-4176-489A-BCBC-01CF55A86D9D}"/>
</file>

<file path=docProps/app.xml><?xml version="1.0" encoding="utf-8"?>
<Properties xmlns="http://schemas.openxmlformats.org/officeDocument/2006/extended-properties" xmlns:vt="http://schemas.openxmlformats.org/officeDocument/2006/docPropsVTypes">
  <Template>Styles</Template>
  <TotalTime>7</TotalTime>
  <Pages>11</Pages>
  <Words>3473</Words>
  <Characters>20571</Characters>
  <Application>Microsoft Office Word</Application>
  <DocSecurity>0</DocSecurity>
  <Lines>171</Lines>
  <Paragraphs>47</Paragraphs>
  <ScaleCrop>false</ScaleCrop>
  <HeadingPairs>
    <vt:vector size="6" baseType="variant">
      <vt:variant>
        <vt:lpstr>Title</vt:lpstr>
      </vt:variant>
      <vt:variant>
        <vt:i4>1</vt:i4>
      </vt:variant>
      <vt:variant>
        <vt:lpstr>Titre</vt:lpstr>
      </vt:variant>
      <vt:variant>
        <vt:i4>1</vt:i4>
      </vt:variant>
      <vt:variant>
        <vt:lpstr>Titlu</vt:lpstr>
      </vt:variant>
      <vt:variant>
        <vt:i4>1</vt:i4>
      </vt:variant>
    </vt:vector>
  </HeadingPairs>
  <TitlesOfParts>
    <vt:vector size="3" baseType="lpstr">
      <vt:lpstr>Demographic challenges in the EU in light of economic and development inequalities</vt:lpstr>
      <vt:lpstr>Demographic challenges in the EU in light of economic and development inequalities</vt:lpstr>
      <vt:lpstr>European Agenda on Migration: Second implementation package - A permanent crisis relocation mechanism under the Dublin system</vt:lpstr>
    </vt:vector>
  </TitlesOfParts>
  <Company>CESE-CdR</Company>
  <LinksUpToDate>false</LinksUpToDate>
  <CharactersWithSpaces>23997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Demografski izazovi u EU-u u svjetlu gospodarskih i razvojnih nejednakosti</dc:title>
  <dc:creator>Aasmaa Triin</dc:creator>
  <cp:keywords>EESC-2019-04587-00-00-AC-TRA-EN</cp:keywords>
  <dc:description>Rapporteur: ROGALEWSKI &amp; BUFFETAUT - Original language: EN - Date of document: 08/05/2020 - Date of meeting:  - External documents:  - Administrator: Mme AASMAA Triin</dc:description>
  <cp:lastModifiedBy>Briski Petra</cp:lastModifiedBy>
  <cp:revision>3</cp:revision>
  <cp:lastPrinted>2020-01-22T10:21:00Z</cp:lastPrinted>
  <dcterms:created xsi:type="dcterms:W3CDTF">2020-05-08T14:23:00Z</dcterms:created>
  <dcterms:modified xsi:type="dcterms:W3CDTF">2020-05-08T14:30:00Z</dcterms:modified>
  <cp:category>SOC/628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08/05/2020, 08/05/2020, 05/03/2020, 05/03/2020, 24/02/2020, 18/02/2020, 18/02/2020, 30/01/2020, 28/01/2020, 24/01/2020, 23/01/2020, 18/12/2019, 04/11/2015, 27/10/2015, 19/10/2015, 09/10/2015, 05/10/2015, 05/10/2015, 26/08/2015, 26/08/2015, 25/08/2015</vt:lpwstr>
  </property>
  <property fmtid="{D5CDD505-2E9C-101B-9397-08002B2CF9AE}" pid="4" name="Pref_Time">
    <vt:lpwstr>14:13:27, 14:07:31, 14:15:12, 13:26:39, 09:44:58, 11:23:08, 11:17:07, 10:07:02, 15:51:34, 15:11:52, 09:15:53, 11:48:05, 12:10:07, 14:44:02, 16:04:16, 14:09:30, 16:24:55, 16:04:02, 08:56:14, 07:27:56, 17:31:53</vt:lpwstr>
  </property>
  <property fmtid="{D5CDD505-2E9C-101B-9397-08002B2CF9AE}" pid="5" name="Pref_User">
    <vt:lpwstr>amett, htoo, hnic, YMUR, enied, amett, htoo, enied, hnic, amett, hnic, amett, ssex, enied, amett, tvoc, mreg, mreg, amett, enied, ssex</vt:lpwstr>
  </property>
  <property fmtid="{D5CDD505-2E9C-101B-9397-08002B2CF9AE}" pid="6" name="Pref_FileName">
    <vt:lpwstr>EESC-2019-04587-00-00-AC-TRA-EN-CRR.docx, EESC-2019-04587-00-00-AC-CRR-EN.docx, EESC-2019-04587-00-00-AS-TRA-EN-CRR.docx, EESC-2019-04587-00-00-AS-CRR-EN.docx, EESC-2019-04587-00-01-PA-ORI.docx, EESC-2019-04587-00-00-PA-TRA-EN-CRR.docx, EESC-2019-04587-00</vt:lpwstr>
  </property>
  <property fmtid="{D5CDD505-2E9C-101B-9397-08002B2CF9AE}" pid="7" name="ContentTypeId">
    <vt:lpwstr>0x010100EA97B91038054C99906057A708A1480A00AD7F41433A6CF64590E6DEF3B77EF5BC</vt:lpwstr>
  </property>
  <property fmtid="{D5CDD505-2E9C-101B-9397-08002B2CF9AE}" pid="8" name="_dlc_DocIdItemGuid">
    <vt:lpwstr>401981ec-450c-4039-9dec-15b85a2886ad</vt:lpwstr>
  </property>
  <property fmtid="{D5CDD505-2E9C-101B-9397-08002B2CF9AE}" pid="9" name="AvailableTranslations">
    <vt:lpwstr>52;#DA|5d49c027-8956-412b-aa16-e85a0f96ad0e;#38;#SV|c2ed69e7-a339-43d7-8f22-d93680a92aa0;#17;#ES|e7a6b05b-ae16-40c8-add9-68b64b03aeba;#59;#HR|2f555653-ed1a-4fe6-8362-9082d95989e5;#4;#EN|f2175f21-25d7-44a3-96da-d6a61b075e1b;#21;#IT|0774613c-01ed-4e5d-a25d-11d2388de825;#55;#BG|1a1b3951-7821-4e6a-85f5-5673fc08bd2c;#46;#CS|72f9705b-0217-4fd3-bea2-cbc7ed80e26e;#58;#LV|46f7e311-5d9f-4663-b433-18aeccb7ace7;#56;#SL|98a412ae-eb01-49e9-ae3d-585a81724cfc;#63;#MT|7df99101-6854-4a26-b53a-b88c0da02c26;#49;#EL|6d4f4d51-af9b-4650-94b4-4276bee85c91;#60;#HU|6b229040-c589-4408-b4c1-4285663d20a8;#57;#RO|feb747a2-64cd-4299-af12-4833ddc30497;#10;#FR|d2afafd3-4c81-4f60-8f52-ee33f2f54ff3;#64;#PT|50ccc04a-eadd-42ae-a0cb-acaf45f812ba;#25;#SK|46d9fce0-ef79-4f71-b89b-cd6aa82426b8;#62;#FI|87606a43-d45f-42d6-b8c9-e1a3457db5b7;#65;#ET|ff6c3f4c-b02c-4c3c-ab07-2c37995a7a0a;#48;#LT|a7ff5ce7-6123-4f68-865a-a57c31810414;#14;#DE|f6b31e5a-26fa-4935-b661-318e46daf27e;#16;#PL|1e03da61-4678-4e07-b136-b5024ca9197b;#45;#NL|55c6556c-b4f4-441d-9acf-c498d4f838bd</vt:lpwstr>
  </property>
  <property fmtid="{D5CDD505-2E9C-101B-9397-08002B2CF9AE}" pid="10" name="DocumentType_0">
    <vt:lpwstr>AC|a4cc1d15-fb08-4679-ad46-e4e0cba5fe92</vt:lpwstr>
  </property>
  <property fmtid="{D5CDD505-2E9C-101B-9397-08002B2CF9AE}" pid="11" name="DossierName_0">
    <vt:lpwstr>SOC|13795804-ecbd-4ce5-9693-9b8be1981b20</vt:lpwstr>
  </property>
  <property fmtid="{D5CDD505-2E9C-101B-9397-08002B2CF9AE}" pid="12" name="DocumentSource_0">
    <vt:lpwstr>EESC|422833ec-8d7e-4e65-8e4e-8bed07ffb729</vt:lpwstr>
  </property>
  <property fmtid="{D5CDD505-2E9C-101B-9397-08002B2CF9AE}" pid="13" name="DocumentNumber">
    <vt:i4>4587</vt:i4>
  </property>
  <property fmtid="{D5CDD505-2E9C-101B-9397-08002B2CF9AE}" pid="14" name="FicheYear">
    <vt:i4>2019</vt:i4>
  </property>
  <property fmtid="{D5CDD505-2E9C-101B-9397-08002B2CF9AE}" pid="15" name="DocumentVersion">
    <vt:i4>0</vt:i4>
  </property>
  <property fmtid="{D5CDD505-2E9C-101B-9397-08002B2CF9AE}" pid="16" name="DossierNumber">
    <vt:i4>628</vt:i4>
  </property>
  <property fmtid="{D5CDD505-2E9C-101B-9397-08002B2CF9AE}" pid="17" name="DocumentStatus">
    <vt:lpwstr>2;#TRA|150d2a88-1431-44e6-a8ca-0bb753ab8672</vt:lpwstr>
  </property>
  <property fmtid="{D5CDD505-2E9C-101B-9397-08002B2CF9AE}" pid="18" name="DocumentPart">
    <vt:i4>0</vt:i4>
  </property>
  <property fmtid="{D5CDD505-2E9C-101B-9397-08002B2CF9AE}" pid="19" name="DossierName">
    <vt:lpwstr>27;#SOC|13795804-ecbd-4ce5-9693-9b8be1981b20</vt:lpwstr>
  </property>
  <property fmtid="{D5CDD505-2E9C-101B-9397-08002B2CF9AE}" pid="20" name="DocumentSource">
    <vt:lpwstr>1;#EESC|422833ec-8d7e-4e65-8e4e-8bed07ffb729</vt:lpwstr>
  </property>
  <property fmtid="{D5CDD505-2E9C-101B-9397-08002B2CF9AE}" pid="21" name="AdoptionDate">
    <vt:filetime>2020-05-07T12:00:00Z</vt:filetime>
  </property>
  <property fmtid="{D5CDD505-2E9C-101B-9397-08002B2CF9AE}" pid="22" name="DocumentType">
    <vt:lpwstr>85;#AC|a4cc1d15-fb08-4679-ad46-e4e0cba5fe92</vt:lpwstr>
  </property>
  <property fmtid="{D5CDD505-2E9C-101B-9397-08002B2CF9AE}" pid="23" name="RequestingService">
    <vt:lpwstr>Emploi, affaires sociales, citoyenneté</vt:lpwstr>
  </property>
  <property fmtid="{D5CDD505-2E9C-101B-9397-08002B2CF9AE}" pid="24" name="Confidentiality">
    <vt:lpwstr>5;#Unrestricted|826e22d7-d029-4ec0-a450-0c28ff673572</vt:lpwstr>
  </property>
  <property fmtid="{D5CDD505-2E9C-101B-9397-08002B2CF9AE}" pid="25" name="MeetingName_0">
    <vt:lpwstr/>
  </property>
  <property fmtid="{D5CDD505-2E9C-101B-9397-08002B2CF9AE}" pid="26" name="Confidentiality_0">
    <vt:lpwstr>Unrestricted|826e22d7-d029-4ec0-a450-0c28ff673572</vt:lpwstr>
  </property>
  <property fmtid="{D5CDD505-2E9C-101B-9397-08002B2CF9AE}" pid="27" name="OriginalLanguage">
    <vt:lpwstr>4;#EN|f2175f21-25d7-44a3-96da-d6a61b075e1b</vt:lpwstr>
  </property>
  <property fmtid="{D5CDD505-2E9C-101B-9397-08002B2CF9AE}" pid="28" name="MeetingName">
    <vt:lpwstr/>
  </property>
  <property fmtid="{D5CDD505-2E9C-101B-9397-08002B2CF9AE}" pid="30" name="AvailableTranslations_0">
    <vt:lpwstr>DA|5d49c027-8956-412b-aa16-e85a0f96ad0e;SV|c2ed69e7-a339-43d7-8f22-d93680a92aa0;ES|e7a6b05b-ae16-40c8-add9-68b64b03aeba;EN|f2175f21-25d7-44a3-96da-d6a61b075e1b;IT|0774613c-01ed-4e5d-a25d-11d2388de825;CS|72f9705b-0217-4fd3-bea2-cbc7ed80e26e;LV|46f7e311-5d9f-4663-b433-18aeccb7ace7;MT|7df99101-6854-4a26-b53a-b88c0da02c26;EL|6d4f4d51-af9b-4650-94b4-4276bee85c91;HU|6b229040-c589-4408-b4c1-4285663d20a8;FR|d2afafd3-4c81-4f60-8f52-ee33f2f54ff3;ET|ff6c3f4c-b02c-4c3c-ab07-2c37995a7a0a;DE|f6b31e5a-26fa-4935-b661-318e46daf27e;PL|1e03da61-4678-4e07-b136-b5024ca9197b;NL|55c6556c-b4f4-441d-9acf-c498d4f838bd</vt:lpwstr>
  </property>
  <property fmtid="{D5CDD505-2E9C-101B-9397-08002B2CF9AE}" pid="31" name="DocumentStatus_0">
    <vt:lpwstr>TRA|150d2a88-1431-44e6-a8ca-0bb753ab8672</vt:lpwstr>
  </property>
  <property fmtid="{D5CDD505-2E9C-101B-9397-08002B2CF9AE}" pid="32" name="OriginalLanguage_0">
    <vt:lpwstr>EN|f2175f21-25d7-44a3-96da-d6a61b075e1b</vt:lpwstr>
  </property>
  <property fmtid="{D5CDD505-2E9C-101B-9397-08002B2CF9AE}" pid="33" name="TaxCatchAll">
    <vt:lpwstr>58;#LV|46f7e311-5d9f-4663-b433-18aeccb7ace7;#27;#SOC|13795804-ecbd-4ce5-9693-9b8be1981b20;#63;#MT|7df99101-6854-4a26-b53a-b88c0da02c26;#38;#SV|c2ed69e7-a339-43d7-8f22-d93680a92aa0;#60;#HU|6b229040-c589-4408-b4c1-4285663d20a8;#21;#IT|0774613c-01ed-4e5d-a25d-11d2388de825;#65;#ET|ff6c3f4c-b02c-4c3c-ab07-2c37995a7a0a;#17;#ES|e7a6b05b-ae16-40c8-add9-68b64b03aeba;#16;#PL|1e03da61-4678-4e07-b136-b5024ca9197b;#52;#DA|5d49c027-8956-412b-aa16-e85a0f96ad0e;#14;#DE|f6b31e5a-26fa-4935-b661-318e46daf27e;#49;#EL|6d4f4d51-af9b-4650-94b4-4276bee85c91;#85;#AC|a4cc1d15-fb08-4679-ad46-e4e0cba5fe92;#10;#FR|d2afafd3-4c81-4f60-8f52-ee33f2f54ff3;#46;#CS|72f9705b-0217-4fd3-bea2-cbc7ed80e26e;#45;#NL|55c6556c-b4f4-441d-9acf-c498d4f838bd;#7;#Final|ea5e6674-7b27-4bac-b091-73adbb394efe;#5;#Unrestricted|826e22d7-d029-4ec0-a450-0c28ff673572;#4;#EN|f2175f21-25d7-44a3-96da-d6a61b075e1b;#2;#TRA|150d2a88-1431-44e6-a8ca-0bb753ab8672;#1;#EESC|422833ec-8d7e-4e65-8e4e-8bed07ffb729</vt:lpwstr>
  </property>
  <property fmtid="{D5CDD505-2E9C-101B-9397-08002B2CF9AE}" pid="34" name="Rapporteur">
    <vt:lpwstr>ROGALEWSKI &amp; BUFFETAUT</vt:lpwstr>
  </property>
  <property fmtid="{D5CDD505-2E9C-101B-9397-08002B2CF9AE}" pid="35" name="VersionStatus_0">
    <vt:lpwstr>Final|ea5e6674-7b27-4bac-b091-73adbb394efe</vt:lpwstr>
  </property>
  <property fmtid="{D5CDD505-2E9C-101B-9397-08002B2CF9AE}" pid="36" name="VersionStatus">
    <vt:lpwstr>7;#Final|ea5e6674-7b27-4bac-b091-73adbb394efe</vt:lpwstr>
  </property>
  <property fmtid="{D5CDD505-2E9C-101B-9397-08002B2CF9AE}" pid="37" name="DocumentYear">
    <vt:i4>2019</vt:i4>
  </property>
  <property fmtid="{D5CDD505-2E9C-101B-9397-08002B2CF9AE}" pid="38" name="FicheNumber">
    <vt:i4>4286</vt:i4>
  </property>
  <property fmtid="{D5CDD505-2E9C-101B-9397-08002B2CF9AE}" pid="39" name="DocumentLanguage">
    <vt:lpwstr>59;#HR|2f555653-ed1a-4fe6-8362-9082d95989e5</vt:lpwstr>
  </property>
</Properties>
</file>